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cs="宋体"/>
          <w:b/>
          <w:bCs/>
          <w:color w:val="000000" w:themeColor="text1"/>
          <w:sz w:val="22"/>
          <w:szCs w:val="28"/>
          <w:highlight w:val="none"/>
          <w14:textFill>
            <w14:solidFill>
              <w14:schemeClr w14:val="tx1"/>
            </w14:solidFill>
          </w14:textFill>
        </w:rPr>
      </w:pPr>
      <w:bookmarkStart w:id="0" w:name="OLE_LINK1"/>
      <w:bookmarkStart w:id="1" w:name="OLE_LINK2"/>
      <w:bookmarkStart w:id="2" w:name="_Toc139254155"/>
      <w:bookmarkStart w:id="3" w:name="_Toc139186818"/>
      <w:bookmarkStart w:id="4" w:name="_Toc225585649"/>
      <w:bookmarkStart w:id="5" w:name="_Toc222129164"/>
    </w:p>
    <w:bookmarkEnd w:id="0"/>
    <w:bookmarkEnd w:id="1"/>
    <w:p>
      <w:pPr>
        <w:spacing w:line="420" w:lineRule="exact"/>
        <w:ind w:firstLine="486" w:firstLineChars="200"/>
        <w:jc w:val="center"/>
        <w:rPr>
          <w:rFonts w:ascii="宋体" w:hAnsi="宋体" w:cs="宋体"/>
          <w:bCs/>
          <w:color w:val="000000" w:themeColor="text1"/>
          <w:kern w:val="0"/>
          <w:sz w:val="24"/>
          <w:highlight w:val="none"/>
          <w14:textFill>
            <w14:solidFill>
              <w14:schemeClr w14:val="tx1"/>
            </w14:solidFill>
          </w14:textFill>
        </w:rPr>
      </w:pPr>
    </w:p>
    <w:p>
      <w:pPr>
        <w:widowControl/>
        <w:spacing w:afterLines="50"/>
        <w:jc w:val="center"/>
        <w:rPr>
          <w:rFonts w:ascii="宋体" w:hAnsi="宋体" w:cs="宋体"/>
          <w:color w:val="000000" w:themeColor="text1"/>
          <w:kern w:val="0"/>
          <w:sz w:val="32"/>
          <w:szCs w:val="32"/>
          <w:highlight w:val="none"/>
          <w:u w:val="single"/>
          <w14:textFill>
            <w14:solidFill>
              <w14:schemeClr w14:val="tx1"/>
            </w14:solidFill>
          </w14:textFill>
        </w:rPr>
      </w:pPr>
      <w:r>
        <w:rPr>
          <w:rFonts w:hint="eastAsia" w:ascii="宋体" w:hAnsi="宋体" w:cs="宋体"/>
          <w:color w:val="000000" w:themeColor="text1"/>
          <w:sz w:val="52"/>
          <w:szCs w:val="22"/>
          <w:highlight w:val="none"/>
          <w14:textFill>
            <w14:solidFill>
              <w14:schemeClr w14:val="tx1"/>
            </w14:solidFill>
          </w14:textFill>
        </w:rPr>
        <w:t>高邮、宝应区域内测绘及市政勘测劳务服务项目</w:t>
      </w:r>
    </w:p>
    <w:p>
      <w:pPr>
        <w:pStyle w:val="33"/>
        <w:ind w:firstLine="566"/>
        <w:jc w:val="center"/>
        <w:rPr>
          <w:rFonts w:ascii="宋体" w:hAnsi="宋体" w:eastAsia="宋体" w:cs="宋体"/>
          <w:color w:val="000000" w:themeColor="text1"/>
          <w:sz w:val="52"/>
          <w:szCs w:val="22"/>
          <w:highlight w:val="none"/>
          <w14:textFill>
            <w14:solidFill>
              <w14:schemeClr w14:val="tx1"/>
            </w14:solidFill>
          </w14:textFill>
        </w:rPr>
      </w:pPr>
    </w:p>
    <w:p>
      <w:pPr>
        <w:spacing w:line="420" w:lineRule="exact"/>
        <w:ind w:firstLine="566" w:firstLineChars="200"/>
        <w:jc w:val="center"/>
        <w:rPr>
          <w:color w:val="000000" w:themeColor="text1"/>
          <w:sz w:val="28"/>
          <w:szCs w:val="28"/>
          <w:highlight w:val="none"/>
          <w14:textFill>
            <w14:solidFill>
              <w14:schemeClr w14:val="tx1"/>
            </w14:solidFill>
          </w14:textFill>
        </w:rPr>
      </w:pPr>
    </w:p>
    <w:p>
      <w:pPr>
        <w:spacing w:line="420" w:lineRule="exact"/>
        <w:ind w:firstLine="646" w:firstLineChars="200"/>
        <w:jc w:val="center"/>
        <w:rPr>
          <w:color w:val="000000" w:themeColor="text1"/>
          <w:sz w:val="32"/>
          <w:szCs w:val="32"/>
          <w:highlight w:val="none"/>
          <w14:textFill>
            <w14:solidFill>
              <w14:schemeClr w14:val="tx1"/>
            </w14:solidFill>
          </w14:textFill>
        </w:rPr>
      </w:pPr>
    </w:p>
    <w:p>
      <w:pPr>
        <w:spacing w:line="420" w:lineRule="exact"/>
        <w:rPr>
          <w:color w:val="000000" w:themeColor="text1"/>
          <w:sz w:val="32"/>
          <w:szCs w:val="32"/>
          <w:highlight w:val="none"/>
          <w14:textFill>
            <w14:solidFill>
              <w14:schemeClr w14:val="tx1"/>
            </w14:solidFill>
          </w14:textFill>
        </w:rPr>
      </w:pPr>
    </w:p>
    <w:p>
      <w:pPr>
        <w:spacing w:line="420" w:lineRule="exact"/>
        <w:ind w:firstLine="646" w:firstLineChars="200"/>
        <w:jc w:val="center"/>
        <w:rPr>
          <w:color w:val="000000" w:themeColor="text1"/>
          <w:sz w:val="32"/>
          <w:szCs w:val="32"/>
          <w:highlight w:val="none"/>
          <w14:textFill>
            <w14:solidFill>
              <w14:schemeClr w14:val="tx1"/>
            </w14:solidFill>
          </w14:textFill>
        </w:rPr>
      </w:pPr>
    </w:p>
    <w:p>
      <w:pPr>
        <w:spacing w:line="480" w:lineRule="auto"/>
        <w:rPr>
          <w:color w:val="000000" w:themeColor="text1"/>
          <w:sz w:val="32"/>
          <w:szCs w:val="32"/>
          <w:highlight w:val="none"/>
          <w14:textFill>
            <w14:solidFill>
              <w14:schemeClr w14:val="tx1"/>
            </w14:solidFill>
          </w14:textFill>
        </w:rPr>
      </w:pPr>
    </w:p>
    <w:p>
      <w:pPr>
        <w:spacing w:line="480" w:lineRule="auto"/>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招标文件</w:t>
      </w:r>
    </w:p>
    <w:p>
      <w:pPr>
        <w:spacing w:line="420" w:lineRule="exact"/>
        <w:ind w:firstLine="566" w:firstLineChars="200"/>
        <w:rPr>
          <w:color w:val="000000" w:themeColor="text1"/>
          <w:sz w:val="28"/>
          <w:szCs w:val="28"/>
          <w:highlight w:val="none"/>
          <w14:textFill>
            <w14:solidFill>
              <w14:schemeClr w14:val="tx1"/>
            </w14:solidFill>
          </w14:textFill>
        </w:rPr>
      </w:pPr>
    </w:p>
    <w:p>
      <w:pPr>
        <w:spacing w:line="420" w:lineRule="exact"/>
        <w:rPr>
          <w:color w:val="000000" w:themeColor="text1"/>
          <w:sz w:val="28"/>
          <w:szCs w:val="28"/>
          <w:highlight w:val="none"/>
          <w14:textFill>
            <w14:solidFill>
              <w14:schemeClr w14:val="tx1"/>
            </w14:solidFill>
          </w14:textFill>
        </w:rPr>
      </w:pPr>
    </w:p>
    <w:p>
      <w:pPr>
        <w:spacing w:line="420" w:lineRule="exact"/>
        <w:rPr>
          <w:color w:val="000000" w:themeColor="text1"/>
          <w:sz w:val="28"/>
          <w:szCs w:val="28"/>
          <w:highlight w:val="none"/>
          <w14:textFill>
            <w14:solidFill>
              <w14:schemeClr w14:val="tx1"/>
            </w14:solidFill>
          </w14:textFill>
        </w:rPr>
      </w:pPr>
    </w:p>
    <w:p>
      <w:pPr>
        <w:spacing w:line="420" w:lineRule="exact"/>
        <w:rPr>
          <w:color w:val="000000" w:themeColor="text1"/>
          <w:sz w:val="28"/>
          <w:szCs w:val="28"/>
          <w:highlight w:val="none"/>
          <w14:textFill>
            <w14:solidFill>
              <w14:schemeClr w14:val="tx1"/>
            </w14:solidFill>
          </w14:textFill>
        </w:rPr>
      </w:pPr>
    </w:p>
    <w:p>
      <w:pPr>
        <w:spacing w:line="420" w:lineRule="exact"/>
        <w:ind w:firstLine="566" w:firstLineChars="200"/>
        <w:rPr>
          <w:color w:val="000000" w:themeColor="text1"/>
          <w:sz w:val="28"/>
          <w:szCs w:val="28"/>
          <w:highlight w:val="none"/>
          <w14:textFill>
            <w14:solidFill>
              <w14:schemeClr w14:val="tx1"/>
            </w14:solidFill>
          </w14:textFill>
        </w:rPr>
      </w:pPr>
    </w:p>
    <w:p>
      <w:pPr>
        <w:spacing w:line="420" w:lineRule="exact"/>
        <w:ind w:firstLine="566" w:firstLineChars="200"/>
        <w:rPr>
          <w:color w:val="000000" w:themeColor="text1"/>
          <w:sz w:val="28"/>
          <w:szCs w:val="28"/>
          <w:highlight w:val="none"/>
          <w14:textFill>
            <w14:solidFill>
              <w14:schemeClr w14:val="tx1"/>
            </w14:solidFill>
          </w14:textFill>
        </w:rPr>
      </w:pPr>
    </w:p>
    <w:p>
      <w:pPr>
        <w:spacing w:line="800" w:lineRule="exact"/>
        <w:rPr>
          <w:color w:val="000000" w:themeColor="text1"/>
          <w:sz w:val="30"/>
          <w:szCs w:val="30"/>
          <w:highlight w:val="none"/>
          <w14:textFill>
            <w14:solidFill>
              <w14:schemeClr w14:val="tx1"/>
            </w14:solidFill>
          </w14:textFill>
        </w:rPr>
      </w:pPr>
    </w:p>
    <w:p>
      <w:pPr>
        <w:spacing w:line="800" w:lineRule="exact"/>
        <w:ind w:firstLine="2541" w:firstLineChars="700"/>
        <w:rPr>
          <w:color w:val="000000" w:themeColor="text1"/>
          <w:kern w:val="0"/>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招标人</w:t>
      </w:r>
      <w:r>
        <w:rPr>
          <w:rFonts w:hint="eastAsia"/>
          <w:color w:val="000000" w:themeColor="text1"/>
          <w:kern w:val="0"/>
          <w:sz w:val="36"/>
          <w:szCs w:val="36"/>
          <w:highlight w:val="none"/>
          <w14:textFill>
            <w14:solidFill>
              <w14:schemeClr w14:val="tx1"/>
            </w14:solidFill>
          </w14:textFill>
        </w:rPr>
        <w:t>：</w:t>
      </w:r>
      <w:r>
        <w:rPr>
          <w:rFonts w:hint="eastAsia" w:ascii="宋体" w:hAnsi="宋体"/>
          <w:snapToGrid w:val="0"/>
          <w:color w:val="000000" w:themeColor="text1"/>
          <w:kern w:val="0"/>
          <w:sz w:val="36"/>
          <w:szCs w:val="36"/>
          <w:highlight w:val="none"/>
          <w14:textFill>
            <w14:solidFill>
              <w14:schemeClr w14:val="tx1"/>
            </w14:solidFill>
          </w14:textFill>
        </w:rPr>
        <w:t>江苏煤炭地质物测队</w:t>
      </w:r>
    </w:p>
    <w:p>
      <w:pPr>
        <w:autoSpaceDE w:val="0"/>
        <w:autoSpaceDN w:val="0"/>
        <w:adjustRightInd w:val="0"/>
        <w:spacing w:line="800" w:lineRule="exact"/>
        <w:ind w:firstLine="2424" w:firstLineChars="800"/>
        <w:rPr>
          <w:color w:val="000000" w:themeColor="text1"/>
          <w:kern w:val="0"/>
          <w:sz w:val="30"/>
          <w:szCs w:val="30"/>
          <w:highlight w:val="none"/>
          <w14:textFill>
            <w14:solidFill>
              <w14:schemeClr w14:val="tx1"/>
            </w14:solidFill>
          </w14:textFill>
        </w:rPr>
      </w:pPr>
    </w:p>
    <w:p>
      <w:pPr>
        <w:pStyle w:val="2"/>
        <w:ind w:left="408" w:hanging="408"/>
        <w:rPr>
          <w:color w:val="000000" w:themeColor="text1"/>
          <w:highlight w:val="none"/>
          <w14:textFill>
            <w14:solidFill>
              <w14:schemeClr w14:val="tx1"/>
            </w14:solidFill>
          </w14:textFill>
        </w:rPr>
      </w:pPr>
    </w:p>
    <w:p>
      <w:pPr>
        <w:autoSpaceDE w:val="0"/>
        <w:autoSpaceDN w:val="0"/>
        <w:adjustRightInd w:val="0"/>
        <w:spacing w:line="800" w:lineRule="exact"/>
        <w:jc w:val="center"/>
        <w:rPr>
          <w:rFonts w:ascii="宋体" w:hAnsi="宋体" w:cs="宋体"/>
          <w:b/>
          <w:color w:val="000000" w:themeColor="text1"/>
          <w:kern w:val="0"/>
          <w:sz w:val="36"/>
          <w:szCs w:val="36"/>
          <w:highlight w:val="none"/>
          <w14:textFill>
            <w14:solidFill>
              <w14:schemeClr w14:val="tx1"/>
            </w14:solidFill>
          </w14:textFill>
        </w:rPr>
      </w:pPr>
      <w:r>
        <w:rPr>
          <w:rFonts w:hint="eastAsia"/>
          <w:color w:val="000000" w:themeColor="text1"/>
          <w:kern w:val="0"/>
          <w:sz w:val="36"/>
          <w:szCs w:val="36"/>
          <w:highlight w:val="none"/>
          <w14:textFill>
            <w14:solidFill>
              <w14:schemeClr w14:val="tx1"/>
            </w14:solidFill>
          </w14:textFill>
        </w:rPr>
        <w:t>日期：二〇二二年九月</w:t>
      </w:r>
    </w:p>
    <w:p>
      <w:pPr>
        <w:autoSpaceDE w:val="0"/>
        <w:autoSpaceDN w:val="0"/>
        <w:adjustRightInd w:val="0"/>
        <w:spacing w:line="800" w:lineRule="exact"/>
        <w:rPr>
          <w:rFonts w:ascii="宋体" w:hAnsi="宋体" w:cs="宋体"/>
          <w:b/>
          <w:color w:val="000000" w:themeColor="text1"/>
          <w:kern w:val="0"/>
          <w:sz w:val="32"/>
          <w:szCs w:val="32"/>
          <w:highlight w:val="none"/>
          <w14:textFill>
            <w14:solidFill>
              <w14:schemeClr w14:val="tx1"/>
            </w14:solidFill>
          </w14:textFill>
        </w:rPr>
        <w:sectPr>
          <w:headerReference r:id="rId3" w:type="default"/>
          <w:footerReference r:id="rId4" w:type="default"/>
          <w:footerReference r:id="rId5" w:type="even"/>
          <w:pgSz w:w="11906" w:h="16838"/>
          <w:pgMar w:top="1440" w:right="1247" w:bottom="1440" w:left="1247" w:header="851" w:footer="992" w:gutter="0"/>
          <w:cols w:space="720" w:num="1"/>
          <w:docGrid w:type="linesAndChars" w:linePitch="312" w:charSpace="800"/>
        </w:sectPr>
      </w:pPr>
    </w:p>
    <w:p>
      <w:pPr>
        <w:pStyle w:val="24"/>
        <w:tabs>
          <w:tab w:val="right" w:leader="dot" w:pos="10200"/>
        </w:tabs>
        <w:ind w:left="400" w:hanging="400"/>
        <w:jc w:val="center"/>
        <w:rPr>
          <w:rFonts w:ascii="宋体" w:hAnsi="宋体"/>
          <w:color w:val="000000" w:themeColor="text1"/>
          <w:sz w:val="36"/>
          <w:szCs w:val="36"/>
          <w:highlight w:val="none"/>
          <w14:textFill>
            <w14:solidFill>
              <w14:schemeClr w14:val="tx1"/>
            </w14:solidFill>
          </w14:textFill>
        </w:rPr>
      </w:pPr>
      <w:bookmarkStart w:id="6" w:name="_Toc8113_WPSOffice_Type1"/>
      <w:bookmarkStart w:id="7" w:name="_Toc29915"/>
      <w:bookmarkStart w:id="8" w:name="_Toc162675143"/>
      <w:r>
        <w:rPr>
          <w:rFonts w:hint="eastAsia" w:ascii="宋体" w:hAnsi="宋体"/>
          <w:color w:val="000000" w:themeColor="text1"/>
          <w:sz w:val="36"/>
          <w:szCs w:val="36"/>
          <w:highlight w:val="none"/>
          <w14:textFill>
            <w14:solidFill>
              <w14:schemeClr w14:val="tx1"/>
            </w14:solidFill>
          </w14:textFill>
        </w:rPr>
        <w:t>目</w:t>
      </w:r>
      <w:r>
        <w:rPr>
          <w:rFonts w:hint="eastAsia" w:ascii="宋体" w:hAnsi="宋体"/>
          <w:color w:val="000000" w:themeColor="text1"/>
          <w:sz w:val="36"/>
          <w:szCs w:val="36"/>
          <w:highlight w:val="none"/>
          <w:lang w:val="en-US" w:eastAsia="zh-CN"/>
          <w14:textFill>
            <w14:solidFill>
              <w14:schemeClr w14:val="tx1"/>
            </w14:solidFill>
          </w14:textFill>
        </w:rPr>
        <w:t xml:space="preserve">  </w:t>
      </w:r>
      <w:r>
        <w:rPr>
          <w:rFonts w:hint="eastAsia" w:ascii="宋体" w:hAnsi="宋体"/>
          <w:color w:val="000000" w:themeColor="text1"/>
          <w:sz w:val="36"/>
          <w:szCs w:val="36"/>
          <w:highlight w:val="none"/>
          <w14:textFill>
            <w14:solidFill>
              <w14:schemeClr w14:val="tx1"/>
            </w14:solidFill>
          </w14:textFill>
        </w:rPr>
        <w:t>录</w:t>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fldChar w:fldCharType="begin"/>
      </w:r>
      <w:r>
        <w:rPr>
          <w:rFonts w:asciiTheme="minorEastAsia" w:hAnsiTheme="minorEastAsia" w:eastAsiaTheme="minorEastAsia"/>
          <w:color w:val="000000" w:themeColor="text1"/>
          <w:sz w:val="24"/>
          <w:szCs w:val="24"/>
          <w:highlight w:val="none"/>
          <w14:textFill>
            <w14:solidFill>
              <w14:schemeClr w14:val="tx1"/>
            </w14:solidFill>
          </w14:textFill>
        </w:rPr>
        <w:instrText xml:space="preserve"> TOC \o "1-1" \h \z \u </w:instrText>
      </w:r>
      <w:r>
        <w:rPr>
          <w:rFonts w:asciiTheme="minorEastAsia" w:hAnsiTheme="minorEastAsia" w:eastAsiaTheme="minorEastAsia"/>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"_Toc118809462"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第一部分招标公告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"_Toc118809463"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stheme="minorEastAsia"/>
          <w:color w:val="000000" w:themeColor="text1"/>
          <w:highlight w:val="none"/>
          <w14:textFill>
            <w14:solidFill>
              <w14:schemeClr w14:val="tx1"/>
            </w14:solidFill>
          </w14:textFill>
        </w:rPr>
        <w:t>一、项目概况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"_Toc118809464"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stheme="minorEastAsia"/>
          <w:color w:val="000000" w:themeColor="text1"/>
          <w:highlight w:val="none"/>
          <w14:textFill>
            <w14:solidFill>
              <w14:schemeClr w14:val="tx1"/>
            </w14:solidFill>
          </w14:textFill>
        </w:rPr>
        <w:t>二、投标供应商资格要求</w:t>
      </w:r>
      <w:r>
        <w:rPr>
          <w:rStyle w:val="39"/>
          <w:rFonts w:asciiTheme="minorEastAsia" w:hAnsiTheme="minorEastAsia" w:cstheme="minor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"_Toc118809471"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第二部分投标人须知前附表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"_Toc118809472"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第三部分投标须知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"_Toc118809473" </w:instrText>
      </w:r>
      <w:r>
        <w:rPr>
          <w:color w:val="000000" w:themeColor="text1"/>
          <w:highlight w:val="none"/>
          <w14:textFill>
            <w14:solidFill>
              <w14:schemeClr w14:val="tx1"/>
            </w14:solidFill>
          </w14:textFill>
        </w:rPr>
        <w:fldChar w:fldCharType="separate"/>
      </w:r>
      <w:r>
        <w:rPr>
          <w:rStyle w:val="39"/>
          <w:rFonts w:hint="eastAsia" w:ascii="宋体" w:hAnsi="宋体" w:cs="宋体"/>
          <w:color w:val="000000" w:themeColor="text1"/>
          <w:highlight w:val="none"/>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"_Toc118809474" </w:instrText>
      </w:r>
      <w:r>
        <w:rPr>
          <w:color w:val="000000" w:themeColor="text1"/>
          <w:highlight w:val="none"/>
          <w14:textFill>
            <w14:solidFill>
              <w14:schemeClr w14:val="tx1"/>
            </w14:solidFill>
          </w14:textFill>
        </w:rPr>
        <w:fldChar w:fldCharType="separate"/>
      </w:r>
      <w:r>
        <w:rPr>
          <w:rStyle w:val="39"/>
          <w:rFonts w:hint="eastAsia" w:ascii="宋体" w:hAnsi="宋体" w:cs="宋体"/>
          <w:color w:val="000000" w:themeColor="text1"/>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"_Toc118809475" </w:instrText>
      </w:r>
      <w:r>
        <w:rPr>
          <w:color w:val="000000" w:themeColor="text1"/>
          <w:highlight w:val="none"/>
          <w14:textFill>
            <w14:solidFill>
              <w14:schemeClr w14:val="tx1"/>
            </w14:solidFill>
          </w14:textFill>
        </w:rPr>
        <w:fldChar w:fldCharType="separate"/>
      </w:r>
      <w:r>
        <w:rPr>
          <w:rStyle w:val="39"/>
          <w:rFonts w:hint="eastAsia" w:ascii="宋体" w:hAnsi="宋体" w:cs="宋体"/>
          <w:color w:val="000000" w:themeColor="text1"/>
          <w:highlight w:val="none"/>
          <w14:textFill>
            <w14:solidFill>
              <w14:schemeClr w14:val="tx1"/>
            </w14:solidFill>
          </w14:textFill>
        </w:rPr>
        <w:t>（三）投标文件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"_Toc118809477" </w:instrText>
      </w:r>
      <w:r>
        <w:rPr>
          <w:color w:val="000000" w:themeColor="text1"/>
          <w:highlight w:val="none"/>
          <w14:textFill>
            <w14:solidFill>
              <w14:schemeClr w14:val="tx1"/>
            </w14:solidFill>
          </w14:textFill>
        </w:rPr>
        <w:fldChar w:fldCharType="separate"/>
      </w:r>
      <w:r>
        <w:rPr>
          <w:rStyle w:val="39"/>
          <w:rFonts w:hint="eastAsia" w:ascii="宋体" w:hAnsi="宋体" w:cs="宋体"/>
          <w:color w:val="000000" w:themeColor="text1"/>
          <w:highlight w:val="none"/>
          <w14:textFill>
            <w14:solidFill>
              <w14:schemeClr w14:val="tx1"/>
            </w14:solidFill>
          </w14:textFill>
        </w:rPr>
        <w:t>（四）开标、评标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"_Toc118809478" </w:instrText>
      </w:r>
      <w:r>
        <w:rPr>
          <w:color w:val="000000" w:themeColor="text1"/>
          <w:highlight w:val="none"/>
          <w14:textFill>
            <w14:solidFill>
              <w14:schemeClr w14:val="tx1"/>
            </w14:solidFill>
          </w14:textFill>
        </w:rPr>
        <w:fldChar w:fldCharType="separate"/>
      </w:r>
      <w:r>
        <w:rPr>
          <w:rStyle w:val="39"/>
          <w:rFonts w:hint="eastAsia" w:ascii="宋体" w:hAnsi="宋体" w:cs="宋体"/>
          <w:color w:val="000000" w:themeColor="text1"/>
          <w:highlight w:val="none"/>
          <w14:textFill>
            <w14:solidFill>
              <w14:schemeClr w14:val="tx1"/>
            </w14:solidFill>
          </w14:textFill>
        </w:rPr>
        <w:t>（五）</w:t>
      </w:r>
      <w:r>
        <w:rPr>
          <w:rStyle w:val="39"/>
          <w:rFonts w:hint="eastAsia" w:ascii="宋体" w:hAnsi="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"_Toc118809479"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第四部分合同（参考）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numPr>
          <w:ilvl w:val="0"/>
          <w:numId w:val="5"/>
        </w:numPr>
        <w:tabs>
          <w:tab w:val="right" w:leader="dot" w:pos="10200"/>
        </w:tabs>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"_Toc118809480"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第五部分</w:t>
      </w:r>
      <w:r>
        <w:rPr>
          <w:rStyle w:val="39"/>
          <w:color w:val="000000" w:themeColor="text1"/>
          <w:highlight w:val="none"/>
          <w14:textFill>
            <w14:solidFill>
              <w14:schemeClr w14:val="tx1"/>
            </w14:solidFill>
          </w14:textFill>
        </w:rPr>
        <w:t xml:space="preserve"> </w:t>
      </w:r>
      <w:r>
        <w:rPr>
          <w:rStyle w:val="39"/>
          <w:rFonts w:hint="eastAsia"/>
          <w:color w:val="000000" w:themeColor="text1"/>
          <w:highlight w:val="none"/>
          <w14:textFill>
            <w14:solidFill>
              <w14:schemeClr w14:val="tx1"/>
            </w14:solidFill>
          </w14:textFill>
        </w:rPr>
        <w:t>项目需求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4"/>
        <w:tabs>
          <w:tab w:val="right" w:leader="dot" w:pos="10200"/>
        </w:tabs>
        <w:ind w:left="400" w:hanging="400"/>
        <w:rPr>
          <w:rFonts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"_Toc118809490"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第六部分：附件（投标文件格式）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_Toc118809490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fldChar w:fldCharType="end"/>
      </w:r>
      <w:r>
        <w:rPr>
          <w:rFonts w:asciiTheme="minorEastAsia" w:hAnsiTheme="minorEastAsia" w:eastAsiaTheme="minorEastAsia"/>
          <w:color w:val="000000" w:themeColor="text1"/>
          <w:sz w:val="24"/>
          <w:highlight w:val="none"/>
          <w14:textFill>
            <w14:solidFill>
              <w14:schemeClr w14:val="tx1"/>
            </w14:solidFill>
          </w14:textFill>
        </w:rPr>
        <w:br w:type="page"/>
      </w:r>
    </w:p>
    <w:bookmarkEnd w:id="6"/>
    <w:p>
      <w:pPr>
        <w:pStyle w:val="3"/>
        <w:jc w:val="center"/>
        <w:rPr>
          <w:rFonts w:hAnsi="宋体" w:cs="宋体"/>
          <w:color w:val="000000" w:themeColor="text1"/>
          <w:sz w:val="32"/>
          <w:szCs w:val="32"/>
          <w:highlight w:val="none"/>
          <w14:textFill>
            <w14:solidFill>
              <w14:schemeClr w14:val="tx1"/>
            </w14:solidFill>
          </w14:textFill>
        </w:rPr>
        <w:sectPr>
          <w:footerReference r:id="rId6" w:type="default"/>
          <w:pgSz w:w="11910" w:h="16850"/>
          <w:pgMar w:top="1440" w:right="1080" w:bottom="1440" w:left="1080" w:header="884" w:footer="1189" w:gutter="0"/>
          <w:pgNumType w:start="1"/>
          <w:cols w:space="720" w:num="1"/>
        </w:sectPr>
      </w:pPr>
    </w:p>
    <w:p>
      <w:pPr>
        <w:pStyle w:val="32"/>
        <w:rPr>
          <w:color w:val="000000" w:themeColor="text1"/>
          <w:highlight w:val="none"/>
          <w14:textFill>
            <w14:solidFill>
              <w14:schemeClr w14:val="tx1"/>
            </w14:solidFill>
          </w14:textFill>
        </w:rPr>
      </w:pPr>
      <w:bookmarkStart w:id="9" w:name="_Toc8105_WPSOffice_Level1"/>
      <w:bookmarkStart w:id="10" w:name="_Toc110496544"/>
      <w:bookmarkStart w:id="11" w:name="_Toc118809462"/>
      <w:r>
        <w:rPr>
          <w:rFonts w:hint="eastAsia"/>
          <w:color w:val="000000" w:themeColor="text1"/>
          <w:highlight w:val="none"/>
          <w14:textFill>
            <w14:solidFill>
              <w14:schemeClr w14:val="tx1"/>
            </w14:solidFill>
          </w14:textFill>
        </w:rPr>
        <w:t>第一部分招标公告</w:t>
      </w:r>
      <w:bookmarkEnd w:id="7"/>
      <w:bookmarkEnd w:id="9"/>
      <w:bookmarkEnd w:id="10"/>
      <w:bookmarkEnd w:id="11"/>
    </w:p>
    <w:bookmarkEnd w:id="8"/>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12" w:name="_Toc107479241"/>
      <w:bookmarkStart w:id="13" w:name="_Toc110496545"/>
      <w:bookmarkStart w:id="14" w:name="_Toc110496593"/>
      <w:bookmarkStart w:id="15" w:name="_Toc118809463"/>
      <w:bookmarkStart w:id="16" w:name="_Toc8688"/>
      <w:bookmarkStart w:id="17" w:name="_Toc8113_WPSOffice_Level1"/>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w:t>
      </w:r>
      <w:bookmarkStart w:id="18" w:name="_Toc11111"/>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bookmarkEnd w:id="18"/>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项目概况</w:t>
      </w:r>
      <w:bookmarkEnd w:id="12"/>
      <w:bookmarkEnd w:id="13"/>
      <w:bookmarkEnd w:id="14"/>
      <w:bookmarkEnd w:id="15"/>
    </w:p>
    <w:p>
      <w:pPr>
        <w:widowControl/>
        <w:spacing w:afterLines="50" w:line="360" w:lineRule="auto"/>
        <w:ind w:firstLine="480" w:firstLineChars="200"/>
        <w:jc w:val="left"/>
        <w:rPr>
          <w:rFonts w:ascii="宋体" w:cs="宋体"/>
          <w:color w:val="000000" w:themeColor="text1"/>
          <w:kern w:val="0"/>
          <w:sz w:val="24"/>
          <w:highlight w:val="none"/>
          <w14:textFill>
            <w14:solidFill>
              <w14:schemeClr w14:val="tx1"/>
            </w14:solidFill>
          </w14:textFill>
        </w:rPr>
      </w:pPr>
      <w:bookmarkStart w:id="19" w:name="_Toc107479256"/>
      <w:bookmarkStart w:id="20" w:name="_Toc110496594"/>
      <w:bookmarkStart w:id="21" w:name="_Toc110496546"/>
      <w:bookmarkStart w:id="22" w:name="_Toc18047"/>
      <w:r>
        <w:rPr>
          <w:rFonts w:hint="eastAsia" w:ascii="宋体" w:cs="宋体"/>
          <w:color w:val="000000" w:themeColor="text1"/>
          <w:kern w:val="0"/>
          <w:sz w:val="24"/>
          <w:highlight w:val="none"/>
          <w14:textFill>
            <w14:solidFill>
              <w14:schemeClr w14:val="tx1"/>
            </w14:solidFill>
          </w14:textFill>
        </w:rPr>
        <w:t>对高邮、宝应2个区域内进行测绘及市政勘测服务。具体包括：受理、信息入库、房屋落宗、日常数据整合和维护、证书制作和登记档案整理归档、管线探测及市政施工等劳务基础工作。</w:t>
      </w:r>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23" w:name="_Toc118809464"/>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二、投标供应商资格要求:</w:t>
      </w:r>
      <w:bookmarkEnd w:id="19"/>
      <w:bookmarkEnd w:id="20"/>
      <w:bookmarkEnd w:id="21"/>
      <w:bookmarkEnd w:id="23"/>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24" w:name="_Toc110496547"/>
      <w:bookmarkStart w:id="25" w:name="_Toc110496595"/>
      <w:bookmarkStart w:id="26" w:name="_Toc107479257"/>
      <w:bookmarkStart w:id="27" w:name="_Toc118809465"/>
      <w:r>
        <w:rPr>
          <w:rFonts w:hint="eastAsia" w:asciiTheme="minorEastAsia" w:hAnsiTheme="minorEastAsia" w:eastAsiaTheme="minorEastAsia" w:cstheme="minorEastAsia"/>
          <w:color w:val="000000" w:themeColor="text1"/>
          <w:sz w:val="24"/>
          <w:highlight w:val="none"/>
          <w14:textFill>
            <w14:solidFill>
              <w14:schemeClr w14:val="tx1"/>
            </w14:solidFill>
          </w14:textFill>
        </w:rPr>
        <w:t>1.符合《中华人民共和国政府采购法》第二十二条的规定；</w:t>
      </w:r>
      <w:bookmarkEnd w:id="24"/>
      <w:bookmarkEnd w:id="25"/>
      <w:bookmarkEnd w:id="26"/>
      <w:bookmarkEnd w:id="27"/>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28" w:name="_Toc107479258"/>
      <w:bookmarkStart w:id="29" w:name="_Toc110496548"/>
      <w:bookmarkStart w:id="30" w:name="_Toc110496596"/>
      <w:bookmarkStart w:id="31" w:name="_Toc118809466"/>
      <w:r>
        <w:rPr>
          <w:rFonts w:hint="eastAsia" w:asciiTheme="minorEastAsia" w:hAnsiTheme="minorEastAsia" w:eastAsiaTheme="minorEastAsia" w:cstheme="minorEastAsia"/>
          <w:color w:val="000000" w:themeColor="text1"/>
          <w:sz w:val="24"/>
          <w:highlight w:val="none"/>
          <w14:textFill>
            <w14:solidFill>
              <w14:schemeClr w14:val="tx1"/>
            </w14:solidFill>
          </w14:textFill>
        </w:rPr>
        <w:t>（1）供应商应具有独立法人资格的合法企事业单位或其他经济组织，能满足招标项目要求，提供有效期内的营业执照（三证合一）</w:t>
      </w:r>
      <w:bookmarkEnd w:id="28"/>
      <w:bookmarkEnd w:id="29"/>
      <w:bookmarkEnd w:id="30"/>
      <w:bookmarkEnd w:id="31"/>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32" w:name="_Toc107479259"/>
      <w:bookmarkStart w:id="33" w:name="_Toc110496597"/>
      <w:bookmarkStart w:id="34" w:name="_Toc110496549"/>
      <w:bookmarkStart w:id="35" w:name="_Toc118809467"/>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bookmarkEnd w:id="32"/>
      <w:bookmarkStart w:id="36" w:name="_Toc107479260"/>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具有健全的财务会计制度</w:t>
      </w:r>
      <w:bookmarkEnd w:id="33"/>
      <w:bookmarkEnd w:id="34"/>
      <w:bookmarkEnd w:id="35"/>
      <w:bookmarkEnd w:id="36"/>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37" w:name="_Toc107479261"/>
      <w:bookmarkStart w:id="38" w:name="_Toc110496550"/>
      <w:bookmarkStart w:id="39" w:name="_Toc110496598"/>
      <w:bookmarkStart w:id="40" w:name="_Toc118809468"/>
      <w:r>
        <w:rPr>
          <w:rFonts w:hint="eastAsia" w:asciiTheme="minorEastAsia" w:hAnsiTheme="minorEastAsia" w:eastAsiaTheme="minorEastAsia" w:cstheme="minorEastAsia"/>
          <w:color w:val="000000" w:themeColor="text1"/>
          <w:sz w:val="24"/>
          <w:highlight w:val="none"/>
          <w14:textFill>
            <w14:solidFill>
              <w14:schemeClr w14:val="tx1"/>
            </w14:solidFill>
          </w14:textFill>
        </w:rPr>
        <w:t>（3）有依法缴纳税收和社会保障资金的良好纪</w:t>
      </w:r>
      <w:bookmarkStart w:id="180" w:name="_GoBack"/>
      <w:bookmarkEnd w:id="180"/>
      <w:r>
        <w:rPr>
          <w:rFonts w:hint="eastAsia" w:asciiTheme="minorEastAsia" w:hAnsiTheme="minorEastAsia" w:eastAsiaTheme="minorEastAsia" w:cstheme="minorEastAsia"/>
          <w:color w:val="000000" w:themeColor="text1"/>
          <w:sz w:val="24"/>
          <w:highlight w:val="none"/>
          <w14:textFill>
            <w14:solidFill>
              <w14:schemeClr w14:val="tx1"/>
            </w14:solidFill>
          </w14:textFill>
        </w:rPr>
        <w:t>录；提供近三个月社保资金缴纳证明和纳税证明；</w:t>
      </w:r>
      <w:bookmarkEnd w:id="37"/>
      <w:bookmarkEnd w:id="38"/>
      <w:bookmarkEnd w:id="39"/>
      <w:bookmarkEnd w:id="40"/>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41" w:name="_Toc110496599"/>
      <w:bookmarkStart w:id="42" w:name="_Toc110496551"/>
      <w:bookmarkStart w:id="43" w:name="_Toc107479262"/>
      <w:bookmarkStart w:id="44" w:name="_Toc118809469"/>
      <w:r>
        <w:rPr>
          <w:rFonts w:hint="eastAsia" w:asciiTheme="minorEastAsia" w:hAnsiTheme="minorEastAsia" w:eastAsiaTheme="minorEastAsia" w:cstheme="minorEastAsia"/>
          <w:color w:val="000000" w:themeColor="text1"/>
          <w:sz w:val="24"/>
          <w:highlight w:val="none"/>
          <w14:textFill>
            <w14:solidFill>
              <w14:schemeClr w14:val="tx1"/>
            </w14:solidFill>
          </w14:textFill>
        </w:rPr>
        <w:t>（4）本项目不接受联合体投标、不接受备选方案、不允许转包和分包。</w:t>
      </w:r>
      <w:bookmarkEnd w:id="41"/>
      <w:bookmarkEnd w:id="42"/>
      <w:bookmarkEnd w:id="43"/>
      <w:bookmarkEnd w:id="44"/>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45" w:name="_Toc110496600"/>
      <w:bookmarkStart w:id="46" w:name="_Toc110496552"/>
      <w:bookmarkStart w:id="47" w:name="_Toc107479263"/>
      <w:bookmarkStart w:id="48" w:name="_Toc118809470"/>
      <w:r>
        <w:rPr>
          <w:rFonts w:hint="eastAsia" w:asciiTheme="minorEastAsia" w:hAnsiTheme="minorEastAsia" w:eastAsiaTheme="minorEastAsia" w:cstheme="minorEastAsia"/>
          <w:color w:val="000000" w:themeColor="text1"/>
          <w:sz w:val="24"/>
          <w:highlight w:val="none"/>
          <w14:textFill>
            <w14:solidFill>
              <w14:schemeClr w14:val="tx1"/>
            </w14:solidFill>
          </w14:textFill>
        </w:rPr>
        <w:t>（5）供应商参加本次采购活动前三年内在“信用中国”（www.creditchina.gov.cn）和中国政府采购网（www.ccgp.gov.cn）网站上未被列入失信被执行人、重大税收违法案件当事人名单以及政府采购严重违法失信行为记录名单的投标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网页截屏有以上行为记录的</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拒绝参与本次采购活动（提供查询网页打印件）</w:t>
      </w:r>
      <w:bookmarkEnd w:id="45"/>
      <w:bookmarkEnd w:id="46"/>
      <w:bookmarkEnd w:id="47"/>
      <w:bookmarkEnd w:id="48"/>
    </w:p>
    <w:bookmarkEnd w:id="22"/>
    <w:p>
      <w:pPr>
        <w:spacing w:line="360" w:lineRule="auto"/>
        <w:rPr>
          <w:rFonts w:ascii="宋体" w:hAnsi="宋体"/>
          <w:b/>
          <w:snapToGrid w:val="0"/>
          <w:color w:val="000000" w:themeColor="text1"/>
          <w:kern w:val="0"/>
          <w:sz w:val="24"/>
          <w:szCs w:val="21"/>
          <w:highlight w:val="none"/>
          <w14:textFill>
            <w14:solidFill>
              <w14:schemeClr w14:val="tx1"/>
            </w14:solidFill>
          </w14:textFill>
        </w:rPr>
      </w:pPr>
      <w:bookmarkStart w:id="49" w:name="_Toc35393793"/>
      <w:r>
        <w:rPr>
          <w:rFonts w:hint="eastAsia" w:ascii="宋体" w:hAnsi="宋体"/>
          <w:b/>
          <w:snapToGrid w:val="0"/>
          <w:color w:val="000000" w:themeColor="text1"/>
          <w:kern w:val="0"/>
          <w:sz w:val="24"/>
          <w:szCs w:val="21"/>
          <w:highlight w:val="none"/>
          <w14:textFill>
            <w14:solidFill>
              <w14:schemeClr w14:val="tx1"/>
            </w14:solidFill>
          </w14:textFill>
        </w:rPr>
        <w:t>三、获取招标文件</w:t>
      </w:r>
    </w:p>
    <w:p>
      <w:pPr>
        <w:spacing w:line="360" w:lineRule="auto"/>
        <w:ind w:firstLine="480" w:firstLineChars="200"/>
        <w:jc w:val="left"/>
        <w:rPr>
          <w:rFonts w:ascii="宋体" w:hAnsi="宋体"/>
          <w:snapToGrid w:val="0"/>
          <w:color w:val="000000" w:themeColor="text1"/>
          <w:kern w:val="0"/>
          <w:sz w:val="24"/>
          <w:szCs w:val="21"/>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1、时间：</w:t>
      </w:r>
      <w:bookmarkEnd w:id="49"/>
      <w:r>
        <w:rPr>
          <w:rFonts w:hint="eastAsia" w:ascii="宋体" w:hAnsi="宋体"/>
          <w:snapToGrid w:val="0"/>
          <w:color w:val="000000" w:themeColor="text1"/>
          <w:kern w:val="0"/>
          <w:sz w:val="24"/>
          <w:szCs w:val="21"/>
          <w:highlight w:val="none"/>
          <w:u w:val="single"/>
          <w14:textFill>
            <w14:solidFill>
              <w14:schemeClr w14:val="tx1"/>
            </w14:solidFill>
          </w14:textFill>
        </w:rPr>
        <w:t>2022年09月12日</w:t>
      </w:r>
      <w:r>
        <w:rPr>
          <w:rFonts w:hint="eastAsia" w:ascii="宋体" w:hAnsi="宋体"/>
          <w:snapToGrid w:val="0"/>
          <w:color w:val="000000" w:themeColor="text1"/>
          <w:kern w:val="0"/>
          <w:sz w:val="24"/>
          <w:szCs w:val="21"/>
          <w:highlight w:val="none"/>
          <w14:textFill>
            <w14:solidFill>
              <w14:schemeClr w14:val="tx1"/>
            </w14:solidFill>
          </w14:textFill>
        </w:rPr>
        <w:t>至</w:t>
      </w:r>
      <w:r>
        <w:rPr>
          <w:rFonts w:hint="eastAsia" w:ascii="宋体" w:hAnsi="宋体"/>
          <w:snapToGrid w:val="0"/>
          <w:color w:val="000000" w:themeColor="text1"/>
          <w:kern w:val="0"/>
          <w:sz w:val="24"/>
          <w:szCs w:val="21"/>
          <w:highlight w:val="none"/>
          <w:u w:val="single"/>
          <w14:textFill>
            <w14:solidFill>
              <w14:schemeClr w14:val="tx1"/>
            </w14:solidFill>
          </w14:textFill>
        </w:rPr>
        <w:t>2022年09月18日</w:t>
      </w:r>
      <w:r>
        <w:rPr>
          <w:rFonts w:hint="eastAsia" w:ascii="宋体" w:hAnsi="宋体"/>
          <w:snapToGrid w:val="0"/>
          <w:color w:val="000000" w:themeColor="text1"/>
          <w:kern w:val="0"/>
          <w:sz w:val="24"/>
          <w:szCs w:val="21"/>
          <w:highlight w:val="none"/>
          <w:u w:val="single"/>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0"/>
          <w:sz w:val="24"/>
          <w:szCs w:val="21"/>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2、方式：在“江苏煤炭地质物测队网站”自行下载招标文件。</w:t>
      </w:r>
    </w:p>
    <w:p>
      <w:pPr>
        <w:spacing w:beforeLines="50" w:afterLines="50" w:line="360" w:lineRule="auto"/>
        <w:jc w:val="left"/>
        <w:rPr>
          <w:rFonts w:ascii="宋体" w:hAnsi="宋体"/>
          <w:b/>
          <w:snapToGrid w:val="0"/>
          <w:color w:val="000000" w:themeColor="text1"/>
          <w:kern w:val="0"/>
          <w:sz w:val="24"/>
          <w:szCs w:val="21"/>
          <w:highlight w:val="none"/>
          <w14:textFill>
            <w14:solidFill>
              <w14:schemeClr w14:val="tx1"/>
            </w14:solidFill>
          </w14:textFill>
        </w:rPr>
      </w:pPr>
      <w:bookmarkStart w:id="50" w:name="_Toc28359007"/>
      <w:r>
        <w:rPr>
          <w:rFonts w:hint="eastAsia" w:ascii="宋体" w:hAnsi="宋体"/>
          <w:b/>
          <w:snapToGrid w:val="0"/>
          <w:color w:val="000000" w:themeColor="text1"/>
          <w:kern w:val="0"/>
          <w:sz w:val="24"/>
          <w:szCs w:val="21"/>
          <w:highlight w:val="none"/>
          <w14:textFill>
            <w14:solidFill>
              <w14:schemeClr w14:val="tx1"/>
            </w14:solidFill>
          </w14:textFill>
        </w:rPr>
        <w:t>四、公告期限</w:t>
      </w:r>
      <w:bookmarkEnd w:id="50"/>
    </w:p>
    <w:p>
      <w:pPr>
        <w:spacing w:line="360" w:lineRule="auto"/>
        <w:ind w:firstLine="480" w:firstLineChars="200"/>
        <w:jc w:val="left"/>
        <w:rPr>
          <w:rFonts w:ascii="宋体" w:hAnsi="宋体"/>
          <w:snapToGrid w:val="0"/>
          <w:color w:val="000000" w:themeColor="text1"/>
          <w:kern w:val="0"/>
          <w:sz w:val="24"/>
          <w:szCs w:val="21"/>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自本公告发布之日起</w:t>
      </w:r>
      <w:r>
        <w:rPr>
          <w:rFonts w:hint="eastAsia" w:ascii="宋体" w:hAnsi="宋体"/>
          <w:snapToGrid w:val="0"/>
          <w:color w:val="000000" w:themeColor="text1"/>
          <w:kern w:val="0"/>
          <w:sz w:val="24"/>
          <w:szCs w:val="21"/>
          <w:highlight w:val="none"/>
          <w14:textFill>
            <w14:solidFill>
              <w14:schemeClr w14:val="tx1"/>
            </w14:solidFill>
          </w14:textFill>
        </w:rPr>
        <w:t>5个工作日</w:t>
      </w:r>
      <w:r>
        <w:rPr>
          <w:rFonts w:hint="eastAsia" w:ascii="宋体" w:hAnsi="宋体"/>
          <w:snapToGrid w:val="0"/>
          <w:color w:val="000000" w:themeColor="text1"/>
          <w:kern w:val="0"/>
          <w:sz w:val="24"/>
          <w:szCs w:val="21"/>
          <w:highlight w:val="none"/>
          <w14:textFill>
            <w14:solidFill>
              <w14:schemeClr w14:val="tx1"/>
            </w14:solidFill>
          </w14:textFill>
        </w:rPr>
        <w:t>。</w:t>
      </w:r>
    </w:p>
    <w:p>
      <w:pPr>
        <w:spacing w:beforeLines="50" w:afterLines="50" w:line="360" w:lineRule="auto"/>
        <w:jc w:val="left"/>
        <w:rPr>
          <w:rFonts w:ascii="宋体" w:hAnsi="宋体"/>
          <w:b/>
          <w:snapToGrid w:val="0"/>
          <w:color w:val="000000" w:themeColor="text1"/>
          <w:kern w:val="0"/>
          <w:sz w:val="24"/>
          <w:szCs w:val="21"/>
          <w:highlight w:val="none"/>
          <w14:textFill>
            <w14:solidFill>
              <w14:schemeClr w14:val="tx1"/>
            </w14:solidFill>
          </w14:textFill>
        </w:rPr>
      </w:pPr>
      <w:bookmarkStart w:id="51" w:name="_Toc38985268"/>
      <w:bookmarkEnd w:id="51"/>
      <w:bookmarkStart w:id="52" w:name="_Toc35393626"/>
      <w:bookmarkEnd w:id="52"/>
      <w:bookmarkStart w:id="53" w:name="_Toc28359008"/>
      <w:r>
        <w:rPr>
          <w:rFonts w:hint="eastAsia" w:ascii="宋体" w:hAnsi="宋体"/>
          <w:b/>
          <w:snapToGrid w:val="0"/>
          <w:color w:val="000000" w:themeColor="text1"/>
          <w:kern w:val="0"/>
          <w:sz w:val="24"/>
          <w:szCs w:val="21"/>
          <w:highlight w:val="none"/>
          <w14:textFill>
            <w14:solidFill>
              <w14:schemeClr w14:val="tx1"/>
            </w14:solidFill>
          </w14:textFill>
        </w:rPr>
        <w:t>五、本次招标联系方式</w:t>
      </w:r>
      <w:bookmarkEnd w:id="53"/>
    </w:p>
    <w:p>
      <w:pPr>
        <w:widowControl/>
        <w:spacing w:line="360" w:lineRule="auto"/>
        <w:jc w:val="left"/>
        <w:rPr>
          <w:rFonts w:ascii="宋体" w:hAnsi="宋体"/>
          <w:b/>
          <w:snapToGrid w:val="0"/>
          <w:color w:val="000000" w:themeColor="text1"/>
          <w:kern w:val="0"/>
          <w:sz w:val="24"/>
          <w:szCs w:val="21"/>
          <w:highlight w:val="none"/>
          <w14:textFill>
            <w14:solidFill>
              <w14:schemeClr w14:val="tx1"/>
            </w14:solidFill>
          </w14:textFill>
        </w:rPr>
      </w:pPr>
      <w:r>
        <w:rPr>
          <w:rFonts w:hint="eastAsia" w:ascii="宋体" w:hAnsi="宋体"/>
          <w:b/>
          <w:snapToGrid w:val="0"/>
          <w:color w:val="000000" w:themeColor="text1"/>
          <w:kern w:val="0"/>
          <w:sz w:val="24"/>
          <w:szCs w:val="21"/>
          <w:highlight w:val="none"/>
          <w14:textFill>
            <w14:solidFill>
              <w14:schemeClr w14:val="tx1"/>
            </w14:solidFill>
          </w14:textFill>
        </w:rPr>
        <w:t>1、招标人信息</w:t>
      </w:r>
    </w:p>
    <w:p>
      <w:pPr>
        <w:spacing w:line="360" w:lineRule="auto"/>
        <w:ind w:firstLine="480" w:firstLineChars="200"/>
        <w:jc w:val="left"/>
        <w:rPr>
          <w:rFonts w:ascii="宋体" w:hAnsi="宋体"/>
          <w:snapToGrid w:val="0"/>
          <w:color w:val="000000" w:themeColor="text1"/>
          <w:kern w:val="0"/>
          <w:sz w:val="24"/>
          <w:szCs w:val="21"/>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名称：江苏煤炭地质物测队</w:t>
      </w:r>
    </w:p>
    <w:p>
      <w:pPr>
        <w:spacing w:line="360" w:lineRule="auto"/>
        <w:ind w:firstLine="480" w:firstLineChars="200"/>
        <w:jc w:val="left"/>
        <w:rPr>
          <w:rFonts w:ascii="宋体" w:hAnsi="宋体"/>
          <w:snapToGrid w:val="0"/>
          <w:color w:val="000000" w:themeColor="text1"/>
          <w:kern w:val="0"/>
          <w:sz w:val="24"/>
          <w:szCs w:val="21"/>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联系人：</w:t>
      </w:r>
      <w:bookmarkStart w:id="54" w:name="DWCGLXR_1"/>
      <w:bookmarkEnd w:id="54"/>
      <w:r>
        <w:rPr>
          <w:rFonts w:hint="eastAsia" w:ascii="宋体" w:hAnsi="宋体"/>
          <w:snapToGrid w:val="0"/>
          <w:color w:val="000000" w:themeColor="text1"/>
          <w:kern w:val="0"/>
          <w:sz w:val="24"/>
          <w:szCs w:val="21"/>
          <w:highlight w:val="none"/>
          <w:u w:val="single"/>
          <w14:textFill>
            <w14:solidFill>
              <w14:schemeClr w14:val="tx1"/>
            </w14:solidFill>
          </w14:textFill>
        </w:rPr>
        <w:t>景军</w:t>
      </w:r>
    </w:p>
    <w:p>
      <w:pPr>
        <w:spacing w:line="360" w:lineRule="auto"/>
        <w:ind w:firstLine="480" w:firstLineChars="200"/>
        <w:jc w:val="left"/>
        <w:rPr>
          <w:rFonts w:ascii="宋体" w:hAnsi="宋体"/>
          <w:snapToGrid w:val="0"/>
          <w:color w:val="000000" w:themeColor="text1"/>
          <w:kern w:val="0"/>
          <w:sz w:val="24"/>
          <w:szCs w:val="21"/>
          <w:highlight w:val="none"/>
          <w:u w:val="singl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联系方式：</w:t>
      </w:r>
      <w:bookmarkStart w:id="55" w:name="DWCGRDH_1"/>
      <w:bookmarkEnd w:id="55"/>
      <w:bookmarkStart w:id="56" w:name="_Toc28359086"/>
      <w:bookmarkEnd w:id="56"/>
      <w:r>
        <w:rPr>
          <w:rFonts w:hint="eastAsia" w:ascii="宋体" w:hAnsi="宋体"/>
          <w:snapToGrid w:val="0"/>
          <w:color w:val="000000" w:themeColor="text1"/>
          <w:kern w:val="0"/>
          <w:sz w:val="24"/>
          <w:szCs w:val="21"/>
          <w:highlight w:val="none"/>
          <w:u w:val="single"/>
          <w14:textFill>
            <w14:solidFill>
              <w14:schemeClr w14:val="tx1"/>
            </w14:solidFill>
          </w14:textFill>
        </w:rPr>
        <w:t>025-85578522</w:t>
      </w:r>
    </w:p>
    <w:p>
      <w:pPr>
        <w:spacing w:beforeLines="50" w:afterLines="50" w:line="360" w:lineRule="auto"/>
        <w:jc w:val="left"/>
        <w:rPr>
          <w:rFonts w:ascii="宋体" w:hAnsi="宋体"/>
          <w:b/>
          <w:snapToGrid w:val="0"/>
          <w:color w:val="000000" w:themeColor="text1"/>
          <w:kern w:val="0"/>
          <w:sz w:val="24"/>
          <w:szCs w:val="21"/>
          <w:highlight w:val="none"/>
          <w14:textFill>
            <w14:solidFill>
              <w14:schemeClr w14:val="tx1"/>
            </w14:solidFill>
          </w14:textFill>
        </w:rPr>
      </w:pPr>
      <w:r>
        <w:rPr>
          <w:rFonts w:hint="eastAsia" w:ascii="宋体" w:hAnsi="宋体"/>
          <w:b/>
          <w:snapToGrid w:val="0"/>
          <w:color w:val="000000" w:themeColor="text1"/>
          <w:kern w:val="0"/>
          <w:sz w:val="24"/>
          <w:szCs w:val="21"/>
          <w:highlight w:val="none"/>
          <w14:textFill>
            <w14:solidFill>
              <w14:schemeClr w14:val="tx1"/>
            </w14:solidFill>
          </w14:textFill>
        </w:rPr>
        <w:t>六、其他</w:t>
      </w:r>
    </w:p>
    <w:p>
      <w:pPr>
        <w:spacing w:line="360" w:lineRule="auto"/>
        <w:ind w:firstLine="482" w:firstLineChars="200"/>
        <w:rPr>
          <w:rFonts w:ascii="黑体" w:hAnsi="黑体" w:eastAsia="黑体"/>
          <w:b/>
          <w:snapToGrid w:val="0"/>
          <w:color w:val="000000" w:themeColor="text1"/>
          <w:kern w:val="0"/>
          <w:sz w:val="24"/>
          <w:szCs w:val="21"/>
          <w:highlight w:val="none"/>
          <w14:textFill>
            <w14:solidFill>
              <w14:schemeClr w14:val="tx1"/>
            </w14:solidFill>
          </w14:textFill>
        </w:rPr>
      </w:pPr>
      <w:r>
        <w:rPr>
          <w:rFonts w:hint="eastAsia" w:ascii="宋体" w:hAnsi="宋体"/>
          <w:b/>
          <w:snapToGrid w:val="0"/>
          <w:color w:val="000000" w:themeColor="text1"/>
          <w:kern w:val="0"/>
          <w:sz w:val="24"/>
          <w:szCs w:val="21"/>
          <w:highlight w:val="none"/>
          <w14:textFill>
            <w14:solidFill>
              <w14:schemeClr w14:val="tx1"/>
            </w14:solidFill>
          </w14:textFill>
        </w:rPr>
        <w:t>1.投标文件制作份数要求</w:t>
      </w:r>
    </w:p>
    <w:p>
      <w:pPr>
        <w:spacing w:line="360" w:lineRule="auto"/>
        <w:ind w:firstLine="480" w:firstLineChars="200"/>
        <w:rPr>
          <w:rFonts w:ascii="宋体" w:hAnsi="宋体"/>
          <w:snapToGrid w:val="0"/>
          <w:color w:val="000000" w:themeColor="text1"/>
          <w:kern w:val="0"/>
          <w:sz w:val="24"/>
          <w:szCs w:val="21"/>
          <w:highlight w:val="none"/>
          <w14:textFill>
            <w14:solidFill>
              <w14:schemeClr w14:val="tx1"/>
            </w14:solidFill>
          </w14:textFill>
        </w:rPr>
      </w:pPr>
      <w:bookmarkStart w:id="57" w:name="XMBSFS_1"/>
      <w:bookmarkEnd w:id="57"/>
      <w:r>
        <w:rPr>
          <w:rFonts w:hint="eastAsia" w:ascii="宋体" w:hAnsi="宋体"/>
          <w:snapToGrid w:val="0"/>
          <w:color w:val="000000" w:themeColor="text1"/>
          <w:kern w:val="0"/>
          <w:sz w:val="24"/>
          <w:szCs w:val="21"/>
          <w:highlight w:val="none"/>
          <w14:textFill>
            <w14:solidFill>
              <w14:schemeClr w14:val="tx1"/>
            </w14:solidFill>
          </w14:textFill>
        </w:rPr>
        <w:t>一式五份(一份正本、四份副本)，每份投标文件须清楚标明“正本”或“副本”。</w:t>
      </w:r>
    </w:p>
    <w:p>
      <w:pPr>
        <w:spacing w:line="360" w:lineRule="auto"/>
        <w:ind w:firstLine="482" w:firstLineChars="200"/>
        <w:rPr>
          <w:rFonts w:ascii="宋体" w:hAnsi="宋体" w:eastAsia="微软雅黑"/>
          <w:b/>
          <w:snapToGrid w:val="0"/>
          <w:color w:val="000000" w:themeColor="text1"/>
          <w:kern w:val="0"/>
          <w:sz w:val="24"/>
          <w:szCs w:val="21"/>
          <w:highlight w:val="none"/>
          <w14:textFill>
            <w14:solidFill>
              <w14:schemeClr w14:val="tx1"/>
            </w14:solidFill>
          </w14:textFill>
        </w:rPr>
      </w:pPr>
      <w:r>
        <w:rPr>
          <w:rFonts w:hint="eastAsia" w:ascii="宋体" w:hAnsi="宋体"/>
          <w:b/>
          <w:snapToGrid w:val="0"/>
          <w:color w:val="000000" w:themeColor="text1"/>
          <w:kern w:val="0"/>
          <w:sz w:val="24"/>
          <w:szCs w:val="21"/>
          <w:highlight w:val="none"/>
          <w14:textFill>
            <w14:solidFill>
              <w14:schemeClr w14:val="tx1"/>
            </w14:solidFill>
          </w14:textFill>
        </w:rPr>
        <w:t>2.本次招标投标保证金</w:t>
      </w:r>
    </w:p>
    <w:p>
      <w:pPr>
        <w:spacing w:line="360" w:lineRule="auto"/>
        <w:ind w:firstLine="480" w:firstLineChars="200"/>
        <w:rPr>
          <w:rFonts w:ascii="宋体" w:hAnsi="宋体"/>
          <w:snapToGrid w:val="0"/>
          <w:color w:val="000000" w:themeColor="text1"/>
          <w:kern w:val="0"/>
          <w:sz w:val="24"/>
          <w:szCs w:val="21"/>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本次招标</w:t>
      </w:r>
      <w:bookmarkStart w:id="58" w:name="XMISBZJ_1"/>
      <w:bookmarkEnd w:id="58"/>
      <w:r>
        <w:rPr>
          <w:rFonts w:hint="eastAsia" w:ascii="宋体" w:hAnsi="宋体"/>
          <w:snapToGrid w:val="0"/>
          <w:color w:val="000000" w:themeColor="text1"/>
          <w:kern w:val="0"/>
          <w:sz w:val="24"/>
          <w:szCs w:val="21"/>
          <w:highlight w:val="none"/>
          <w14:textFill>
            <w14:solidFill>
              <w14:schemeClr w14:val="tx1"/>
            </w14:solidFill>
          </w14:textFill>
        </w:rPr>
        <w:t>不收取投标保证金。</w:t>
      </w:r>
    </w:p>
    <w:p>
      <w:pPr>
        <w:widowControl/>
        <w:tabs>
          <w:tab w:val="left" w:pos="312"/>
        </w:tabs>
        <w:spacing w:line="360" w:lineRule="auto"/>
        <w:ind w:firstLine="482" w:firstLineChars="200"/>
        <w:jc w:val="left"/>
        <w:rPr>
          <w:rFonts w:ascii="宋体" w:hAnsi="宋体"/>
          <w:b/>
          <w:snapToGrid w:val="0"/>
          <w:color w:val="000000" w:themeColor="text1"/>
          <w:kern w:val="0"/>
          <w:sz w:val="24"/>
          <w:szCs w:val="21"/>
          <w:highlight w:val="none"/>
          <w14:textFill>
            <w14:solidFill>
              <w14:schemeClr w14:val="tx1"/>
            </w14:solidFill>
          </w14:textFill>
        </w:rPr>
      </w:pPr>
      <w:r>
        <w:rPr>
          <w:rFonts w:hint="eastAsia" w:ascii="宋体" w:hAnsi="宋体"/>
          <w:b/>
          <w:snapToGrid w:val="0"/>
          <w:color w:val="000000" w:themeColor="text1"/>
          <w:kern w:val="0"/>
          <w:sz w:val="24"/>
          <w:szCs w:val="21"/>
          <w:highlight w:val="none"/>
          <w14:textFill>
            <w14:solidFill>
              <w14:schemeClr w14:val="tx1"/>
            </w14:solidFill>
          </w14:textFill>
        </w:rPr>
        <w:t>3.潜在投标人对招标文件项目需求部分的询问、质疑请向招标人提出，由招标联系人答复。</w:t>
      </w:r>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p>
    <w:p>
      <w:pPr>
        <w:pStyle w:val="32"/>
        <w:jc w:val="left"/>
        <w:rPr>
          <w:rFonts w:asciiTheme="minorEastAsia" w:hAnsiTheme="minorEastAsia" w:eastAsiaTheme="minorEastAsia" w:cstheme="minorEastAsia"/>
          <w:color w:val="000000" w:themeColor="text1"/>
          <w:sz w:val="24"/>
          <w:highlight w:val="none"/>
          <w14:textFill>
            <w14:solidFill>
              <w14:schemeClr w14:val="tx1"/>
            </w14:solidFill>
          </w14:textFill>
        </w:rPr>
      </w:pPr>
    </w:p>
    <w:p>
      <w:pPr>
        <w:rPr>
          <w:rFonts w:asciiTheme="minorEastAsia" w:hAnsiTheme="minorEastAsia" w:eastAsiaTheme="minorEastAsia" w:cstheme="minorEastAsia"/>
          <w:color w:val="000000" w:themeColor="text1"/>
          <w:sz w:val="24"/>
          <w:highlight w:val="none"/>
          <w14:textFill>
            <w14:solidFill>
              <w14:schemeClr w14:val="tx1"/>
            </w14:solidFill>
          </w14:textFill>
        </w:rPr>
      </w:pPr>
    </w:p>
    <w:p>
      <w:pPr>
        <w:pStyle w:val="33"/>
        <w:ind w:firstLine="281"/>
        <w:rPr>
          <w:rFonts w:asciiTheme="minorEastAsia" w:hAnsiTheme="minorEastAsia" w:eastAsiaTheme="minorEastAsia" w:cstheme="minorEastAsia"/>
          <w:color w:val="000000" w:themeColor="text1"/>
          <w:sz w:val="24"/>
          <w:highlight w:val="none"/>
          <w14:textFill>
            <w14:solidFill>
              <w14:schemeClr w14:val="tx1"/>
            </w14:solidFill>
          </w14:textFill>
        </w:rPr>
      </w:pPr>
    </w:p>
    <w:p>
      <w:pPr>
        <w:rPr>
          <w:rFonts w:asciiTheme="minorEastAsia" w:hAnsiTheme="minorEastAsia" w:eastAsiaTheme="minorEastAsia" w:cstheme="minorEastAsia"/>
          <w:color w:val="000000" w:themeColor="text1"/>
          <w:sz w:val="24"/>
          <w:highlight w:val="none"/>
          <w14:textFill>
            <w14:solidFill>
              <w14:schemeClr w14:val="tx1"/>
            </w14:solidFill>
          </w14:textFill>
        </w:rPr>
      </w:pPr>
    </w:p>
    <w:p>
      <w:pPr>
        <w:pStyle w:val="33"/>
        <w:ind w:firstLine="281"/>
        <w:rPr>
          <w:rFonts w:asciiTheme="minorEastAsia" w:hAnsiTheme="minorEastAsia" w:eastAsiaTheme="minorEastAsia" w:cstheme="minorEastAsia"/>
          <w:color w:val="000000" w:themeColor="text1"/>
          <w:sz w:val="24"/>
          <w:highlight w:val="none"/>
          <w14:textFill>
            <w14:solidFill>
              <w14:schemeClr w14:val="tx1"/>
            </w14:solidFill>
          </w14:textFill>
        </w:rPr>
      </w:pPr>
    </w:p>
    <w:p>
      <w:pPr>
        <w:rPr>
          <w:rFonts w:asciiTheme="minorEastAsia" w:hAnsiTheme="minorEastAsia" w:eastAsiaTheme="minorEastAsia" w:cstheme="minorEastAsia"/>
          <w:color w:val="000000" w:themeColor="text1"/>
          <w:sz w:val="24"/>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32"/>
        <w:rPr>
          <w:color w:val="000000" w:themeColor="text1"/>
          <w:highlight w:val="none"/>
          <w14:textFill>
            <w14:solidFill>
              <w14:schemeClr w14:val="tx1"/>
            </w14:solidFill>
          </w14:textFill>
        </w:rPr>
      </w:pPr>
      <w:bookmarkStart w:id="59" w:name="_Toc118809471"/>
      <w:r>
        <w:rPr>
          <w:rFonts w:hint="eastAsia"/>
          <w:color w:val="000000" w:themeColor="text1"/>
          <w:highlight w:val="none"/>
          <w14:textFill>
            <w14:solidFill>
              <w14:schemeClr w14:val="tx1"/>
            </w14:solidFill>
          </w14:textFill>
        </w:rPr>
        <w:t>第二部分  投标人须知</w:t>
      </w:r>
      <w:bookmarkEnd w:id="2"/>
      <w:bookmarkEnd w:id="3"/>
      <w:bookmarkEnd w:id="4"/>
      <w:bookmarkEnd w:id="5"/>
      <w:bookmarkEnd w:id="16"/>
      <w:r>
        <w:rPr>
          <w:rFonts w:hint="eastAsia"/>
          <w:color w:val="000000" w:themeColor="text1"/>
          <w:highlight w:val="none"/>
          <w14:textFill>
            <w14:solidFill>
              <w14:schemeClr w14:val="tx1"/>
            </w14:solidFill>
          </w14:textFill>
        </w:rPr>
        <w:t>前附表</w:t>
      </w:r>
      <w:bookmarkEnd w:id="17"/>
      <w:bookmarkEnd w:id="59"/>
    </w:p>
    <w:tbl>
      <w:tblPr>
        <w:tblStyle w:val="3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3"/>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c>
          <w:tcPr>
            <w:tcW w:w="7251"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 </w:t>
            </w:r>
          </w:p>
        </w:tc>
        <w:tc>
          <w:tcPr>
            <w:tcW w:w="7251"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高邮、宝应区域内测绘及市政勘测劳务服务项目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w:t>
            </w:r>
          </w:p>
        </w:tc>
        <w:tc>
          <w:tcPr>
            <w:tcW w:w="7251" w:type="dxa"/>
            <w:noWrap/>
            <w:vAlign w:val="center"/>
          </w:tcPr>
          <w:p>
            <w:pPr>
              <w:widowControl/>
              <w:spacing w:afterLines="50"/>
              <w:ind w:firstLine="420" w:firstLineChars="200"/>
              <w:jc w:val="left"/>
              <w:rPr>
                <w:rFonts w:ascii="宋体" w:cs="宋体"/>
                <w:color w:val="000000" w:themeColor="text1"/>
                <w:kern w:val="0"/>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因工作需要，</w:t>
            </w:r>
            <w:r>
              <w:rPr>
                <w:rFonts w:hint="eastAsia" w:ascii="宋体" w:cs="宋体"/>
                <w:color w:val="000000" w:themeColor="text1"/>
                <w:kern w:val="0"/>
                <w:sz w:val="24"/>
                <w:highlight w:val="none"/>
                <w14:textFill>
                  <w14:solidFill>
                    <w14:schemeClr w14:val="tx1"/>
                  </w14:solidFill>
                </w14:textFill>
              </w:rPr>
              <w:t>对高邮、宝应2个区域内进行测绘及市政勘测。具体包括：受理、信息入库、房屋落宗、日常数据整合和维护、证书制作和登记档案整理归档、管线探测及市政施工等工作</w:t>
            </w:r>
            <w:r>
              <w:rPr>
                <w:rFonts w:hint="eastAsia" w:ascii="宋体" w:hAnsi="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w:t>
            </w:r>
          </w:p>
        </w:tc>
        <w:tc>
          <w:tcPr>
            <w:tcW w:w="7251" w:type="dxa"/>
            <w:noWrap/>
            <w:vAlign w:val="center"/>
          </w:tcPr>
          <w:p>
            <w:pPr>
              <w:pStyle w:val="44"/>
              <w:widowControl w:val="0"/>
              <w:overflowPunct/>
              <w:snapToGrid w:val="0"/>
              <w:jc w:val="both"/>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招标人：</w:t>
            </w:r>
            <w:r>
              <w:rPr>
                <w:rFonts w:hint="eastAsia" w:ascii="宋体" w:hAnsi="宋体" w:cs="宋体"/>
                <w:color w:val="000000" w:themeColor="text1"/>
                <w:szCs w:val="24"/>
                <w:highlight w:val="none"/>
                <w14:textFill>
                  <w14:solidFill>
                    <w14:schemeClr w14:val="tx1"/>
                  </w14:solidFill>
                </w14:textFill>
              </w:rPr>
              <w:t>江苏煤炭地质物测队</w:t>
            </w:r>
          </w:p>
          <w:p>
            <w:pPr>
              <w:tabs>
                <w:tab w:val="left" w:pos="4980"/>
                <w:tab w:val="right" w:pos="8312"/>
              </w:tabs>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景军</w:t>
            </w:r>
            <w:r>
              <w:rPr>
                <w:rFonts w:hint="eastAsia" w:ascii="宋体" w:hAnsi="宋体" w:cs="宋体"/>
                <w:color w:val="000000" w:themeColor="text1"/>
                <w:kern w:val="0"/>
                <w:sz w:val="24"/>
                <w:highlight w:val="none"/>
                <w14:textFill>
                  <w14:solidFill>
                    <w14:schemeClr w14:val="tx1"/>
                  </w14:solidFill>
                </w14:textFill>
              </w:rPr>
              <w:t xml:space="preserve"> 电话：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025-85578522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7251" w:type="dxa"/>
            <w:noWrap/>
            <w:vAlign w:val="center"/>
          </w:tcPr>
          <w:p>
            <w:pPr>
              <w:autoSpaceDE w:val="0"/>
              <w:autoSpaceDN w:val="0"/>
              <w:textAlignment w:val="bottom"/>
              <w:rPr>
                <w:rFonts w:ascii="宋体" w:hAnsi="宋体" w:cs="宋体"/>
                <w:b/>
                <w:bCs/>
                <w:color w:val="000000" w:themeColor="text1"/>
                <w:sz w:val="24"/>
                <w:highlight w:val="none"/>
                <w14:textFill>
                  <w14:solidFill>
                    <w14:schemeClr w14:val="tx1"/>
                  </w14:solidFill>
                </w14:textFill>
              </w:rPr>
            </w:pPr>
            <w:r>
              <w:rPr>
                <w:rFonts w:hint="eastAsia" w:ascii="宋体" w:hAnsi="宋体"/>
                <w:snapToGrid w:val="0"/>
                <w:color w:val="000000" w:themeColor="text1"/>
                <w:kern w:val="0"/>
                <w:sz w:val="24"/>
                <w:szCs w:val="21"/>
                <w:highlight w:val="none"/>
                <w14:textFill>
                  <w14:solidFill>
                    <w14:schemeClr w14:val="tx1"/>
                  </w14:solidFill>
                </w14:textFill>
              </w:rPr>
              <w:t>本次招标不收取投标保证金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质量要求</w:t>
            </w:r>
          </w:p>
        </w:tc>
        <w:tc>
          <w:tcPr>
            <w:tcW w:w="7251" w:type="dxa"/>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7251" w:type="dxa"/>
            <w:noWrap/>
            <w:vAlign w:val="center"/>
          </w:tcPr>
          <w:p>
            <w:pPr>
              <w:autoSpaceDE w:val="0"/>
              <w:autoSpaceDN w:val="0"/>
              <w:jc w:val="center"/>
              <w:textAlignment w:val="bottom"/>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自签订合同起一年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p>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资格要求</w:t>
            </w:r>
          </w:p>
        </w:tc>
        <w:tc>
          <w:tcPr>
            <w:tcW w:w="7251" w:type="dxa"/>
            <w:noWrap/>
            <w:vAlign w:val="center"/>
          </w:tcPr>
          <w:p>
            <w:pPr>
              <w:pStyle w:val="33"/>
              <w:ind w:firstLine="0" w:firstLineChars="0"/>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 xml:space="preserve">符合《中华人民共和国政府采购法》第二十二条的规定； </w:t>
            </w:r>
          </w:p>
          <w:p>
            <w:pPr>
              <w:pStyle w:val="33"/>
              <w:ind w:firstLine="0" w:firstLineChars="0"/>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（1）供应商应具有独立法人资格的合法企事业单位或其他经济组织，能满足招标项目要求，提供有效期内的营业执照（三证合一）</w:t>
            </w:r>
          </w:p>
          <w:p>
            <w:pPr>
              <w:pStyle w:val="33"/>
              <w:ind w:firstLine="0" w:firstLineChars="0"/>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（2）具有健全的财务会计制度</w:t>
            </w:r>
          </w:p>
          <w:p>
            <w:pPr>
              <w:pStyle w:val="33"/>
              <w:ind w:firstLine="0" w:firstLineChars="0"/>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（3）有依法缴纳税收和社会保障资金的良好纪录；提供近三个月社保资金缴纳证明和纳税证明；</w:t>
            </w:r>
          </w:p>
          <w:p>
            <w:pPr>
              <w:pStyle w:val="33"/>
              <w:ind w:firstLine="0" w:firstLineChars="0"/>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（4）本项目不接受联合体投标、不接受备选方案、不允许转包和分包。</w:t>
            </w:r>
          </w:p>
          <w:p>
            <w:pPr>
              <w:pStyle w:val="33"/>
              <w:ind w:firstLine="0" w:firstLineChars="0"/>
              <w:rPr>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5）供应商参加本次采购活动前三年内在“信用中国”（www.creditchina.gov.cn）和中国政府采购网（www.ccgp.gov.cn）网站上未被列入失信被执行人、重大税收违法案件当事人名单以及政府采购严重违法失信行为记录名单的投标人，网页截屏有以上行为记录的拒绝参与本次采购活动（提供查询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bookmarkStart w:id="60" w:name="_Toc139254157"/>
            <w:bookmarkStart w:id="61" w:name="_Toc139186820"/>
            <w:r>
              <w:rPr>
                <w:rFonts w:hint="eastAsia" w:ascii="宋体" w:hAnsi="宋体" w:cs="宋体"/>
                <w:color w:val="000000" w:themeColor="text1"/>
                <w:sz w:val="24"/>
                <w:highlight w:val="none"/>
                <w14:textFill>
                  <w14:solidFill>
                    <w14:schemeClr w14:val="tx1"/>
                  </w14:solidFill>
                </w14:textFill>
              </w:rPr>
              <w:t>12</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251" w:type="dxa"/>
            <w:noWrap/>
            <w:vAlign w:val="center"/>
          </w:tcPr>
          <w:p>
            <w:pPr>
              <w:autoSpaceDE w:val="0"/>
              <w:autoSpaceDN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投标截止时间起</w:t>
            </w:r>
            <w:r>
              <w:rPr>
                <w:rFonts w:hint="eastAsia" w:ascii="宋体" w:hAnsi="宋体" w:cs="宋体"/>
                <w:color w:val="000000" w:themeColor="text1"/>
                <w:sz w:val="24"/>
                <w:highlight w:val="none"/>
                <w:u w:val="single"/>
                <w14:textFill>
                  <w14:solidFill>
                    <w14:schemeClr w14:val="tx1"/>
                  </w14:solidFill>
                </w14:textFill>
              </w:rPr>
              <w:t xml:space="preserve"> 60 </w:t>
            </w:r>
            <w:r>
              <w:rPr>
                <w:rFonts w:hint="eastAsia" w:ascii="宋体" w:hAnsi="宋体" w:cs="宋体"/>
                <w:color w:val="000000" w:themeColor="text1"/>
                <w:sz w:val="24"/>
                <w:highlight w:val="none"/>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投标文件份数</w:t>
            </w:r>
          </w:p>
        </w:tc>
        <w:tc>
          <w:tcPr>
            <w:tcW w:w="7251" w:type="dxa"/>
            <w:noWrap/>
            <w:vAlign w:val="center"/>
          </w:tcPr>
          <w:p>
            <w:pPr>
              <w:pStyle w:val="50"/>
              <w:spacing w:before="1"/>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纸质版投标文件：</w:t>
            </w:r>
            <w:r>
              <w:rPr>
                <w:color w:val="000000" w:themeColor="text1"/>
                <w:sz w:val="24"/>
                <w:highlight w:val="none"/>
                <w14:textFill>
                  <w14:solidFill>
                    <w14:schemeClr w14:val="tx1"/>
                  </w14:solidFill>
                </w14:textFill>
              </w:rPr>
              <w:t>正本壹份、副本</w:t>
            </w:r>
            <w:r>
              <w:rPr>
                <w:rFonts w:hint="eastAsia"/>
                <w:color w:val="000000" w:themeColor="text1"/>
                <w:sz w:val="24"/>
                <w:highlight w:val="none"/>
                <w14:textFill>
                  <w14:solidFill>
                    <w14:schemeClr w14:val="tx1"/>
                  </w14:solidFill>
                </w14:textFill>
              </w:rPr>
              <w:t>肆</w:t>
            </w:r>
            <w:r>
              <w:rPr>
                <w:color w:val="000000" w:themeColor="text1"/>
                <w:sz w:val="24"/>
                <w:highlight w:val="none"/>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w:t>
            </w:r>
          </w:p>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递交地点及时间</w:t>
            </w:r>
          </w:p>
        </w:tc>
        <w:tc>
          <w:tcPr>
            <w:tcW w:w="7251" w:type="dxa"/>
            <w:noWrap/>
            <w:vAlign w:val="center"/>
          </w:tcPr>
          <w:p>
            <w:pPr>
              <w:autoSpaceDE w:val="0"/>
              <w:autoSpaceDN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江苏煤炭地质物测队测绘院（南京市栖霞区尧新大道3号）</w:t>
            </w:r>
          </w:p>
          <w:p>
            <w:pPr>
              <w:autoSpaceDE w:val="0"/>
              <w:autoSpaceDN w:val="0"/>
              <w:jc w:val="lef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r>
              <w:rPr>
                <w:rFonts w:hint="eastAsia" w:ascii="宋体" w:hAnsi="宋体" w:cs="宋体"/>
                <w:color w:val="000000" w:themeColor="text1"/>
                <w:sz w:val="24"/>
                <w:highlight w:val="none"/>
                <w14:textFill>
                  <w14:solidFill>
                    <w14:schemeClr w14:val="tx1"/>
                  </w14:solidFill>
                </w14:textFill>
              </w:rPr>
              <w:t>2022年09月28日9时</w:t>
            </w:r>
            <w:r>
              <w:rPr>
                <w:rFonts w:hint="eastAsia" w:ascii="宋体" w:hAnsi="宋体" w:cs="宋体"/>
                <w:color w:val="000000" w:themeColor="text1"/>
                <w:sz w:val="24"/>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开标时间、地点</w:t>
            </w:r>
          </w:p>
        </w:tc>
        <w:tc>
          <w:tcPr>
            <w:tcW w:w="7251" w:type="dxa"/>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开标时间：2022年09月28日9时(北京时间)</w:t>
            </w:r>
          </w:p>
          <w:p>
            <w:pPr>
              <w:autoSpaceDE w:val="0"/>
              <w:autoSpaceDN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江苏煤炭地质物测队测绘院（南京市栖霞区尧新大道3号）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5"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953" w:type="dxa"/>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7251" w:type="dxa"/>
            <w:noWrap/>
            <w:vAlign w:val="center"/>
          </w:tcPr>
          <w:p>
            <w:pPr>
              <w:autoSpaceDE w:val="0"/>
              <w:autoSpaceDN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textAlignment w:val="bottom"/>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预算金额</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转包、分包</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19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联合体投标</w:t>
            </w:r>
          </w:p>
        </w:tc>
        <w:tc>
          <w:tcPr>
            <w:tcW w:w="725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不允许</w:t>
            </w:r>
          </w:p>
        </w:tc>
      </w:tr>
    </w:tbl>
    <w:p>
      <w:pPr>
        <w:pStyle w:val="8"/>
        <w:ind w:firstLine="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注：如有矛盾，以须知表为准。</w:t>
      </w:r>
    </w:p>
    <w:bookmarkEnd w:id="60"/>
    <w:bookmarkEnd w:id="61"/>
    <w:p>
      <w:pPr>
        <w:pStyle w:val="32"/>
        <w:spacing w:line="500" w:lineRule="exact"/>
        <w:rPr>
          <w:rFonts w:ascii="宋体" w:hAnsi="宋体" w:cs="宋体"/>
          <w:color w:val="000000" w:themeColor="text1"/>
          <w:highlight w:val="none"/>
          <w14:textFill>
            <w14:solidFill>
              <w14:schemeClr w14:val="tx1"/>
            </w14:solidFill>
          </w14:textFill>
        </w:rPr>
      </w:pPr>
      <w:bookmarkStart w:id="62" w:name="_Toc26227"/>
      <w:bookmarkStart w:id="63" w:name="_Toc26375_WPSOffice_Level1"/>
      <w:bookmarkStart w:id="64" w:name="_Toc225585653"/>
      <w:bookmarkStart w:id="65" w:name="_Toc40854912"/>
      <w:bookmarkStart w:id="66" w:name="_Toc56937777"/>
      <w:bookmarkStart w:id="67" w:name="_Toc41382525"/>
    </w:p>
    <w:p>
      <w:pPr>
        <w:rPr>
          <w:rFonts w:ascii="宋体" w:hAnsi="宋体" w:cs="宋体"/>
          <w:color w:val="000000" w:themeColor="text1"/>
          <w:highlight w:val="none"/>
          <w14:textFill>
            <w14:solidFill>
              <w14:schemeClr w14:val="tx1"/>
            </w14:solidFill>
          </w14:textFill>
        </w:rPr>
      </w:pPr>
    </w:p>
    <w:p>
      <w:pPr>
        <w:pStyle w:val="33"/>
        <w:ind w:firstLine="60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33"/>
        <w:ind w:firstLine="60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33"/>
        <w:ind w:firstLine="60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33"/>
        <w:ind w:firstLine="602"/>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33"/>
        <w:ind w:firstLine="602"/>
        <w:rPr>
          <w:rFonts w:hint="eastAsia" w:ascii="宋体" w:hAnsi="宋体" w:cs="宋体"/>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32"/>
        <w:rPr>
          <w:color w:val="000000" w:themeColor="text1"/>
          <w:highlight w:val="none"/>
          <w14:textFill>
            <w14:solidFill>
              <w14:schemeClr w14:val="tx1"/>
            </w14:solidFill>
          </w14:textFill>
        </w:rPr>
      </w:pPr>
      <w:bookmarkStart w:id="68" w:name="_Toc118809472"/>
      <w:r>
        <w:rPr>
          <w:rFonts w:hint="eastAsia"/>
          <w:color w:val="000000" w:themeColor="text1"/>
          <w:highlight w:val="none"/>
          <w14:textFill>
            <w14:solidFill>
              <w14:schemeClr w14:val="tx1"/>
            </w14:solidFill>
          </w14:textFill>
        </w:rPr>
        <w:t>第三部分投标须知</w:t>
      </w:r>
      <w:bookmarkEnd w:id="62"/>
      <w:bookmarkEnd w:id="63"/>
      <w:bookmarkEnd w:id="64"/>
      <w:bookmarkEnd w:id="68"/>
    </w:p>
    <w:p>
      <w:pPr>
        <w:pStyle w:val="32"/>
        <w:spacing w:before="0" w:after="0" w:line="500" w:lineRule="exact"/>
        <w:rPr>
          <w:rFonts w:ascii="宋体" w:hAnsi="宋体" w:cs="宋体"/>
          <w:color w:val="000000" w:themeColor="text1"/>
          <w:sz w:val="10"/>
          <w:highlight w:val="none"/>
          <w14:textFill>
            <w14:solidFill>
              <w14:schemeClr w14:val="tx1"/>
            </w14:solidFill>
          </w14:textFill>
        </w:rPr>
      </w:pPr>
      <w:bookmarkStart w:id="69" w:name="_Toc224984520"/>
      <w:bookmarkStart w:id="70" w:name="_Toc225585654"/>
      <w:bookmarkStart w:id="71" w:name="_Toc25812"/>
      <w:bookmarkStart w:id="72" w:name="_Toc107479266"/>
      <w:bookmarkStart w:id="73" w:name="_Toc118809473"/>
      <w:r>
        <w:rPr>
          <w:rFonts w:hint="eastAsia" w:ascii="宋体" w:hAnsi="宋体" w:cs="宋体"/>
          <w:color w:val="000000" w:themeColor="text1"/>
          <w:highlight w:val="none"/>
          <w14:textFill>
            <w14:solidFill>
              <w14:schemeClr w14:val="tx1"/>
            </w14:solidFill>
          </w14:textFill>
        </w:rPr>
        <w:t>（一）总则</w:t>
      </w:r>
      <w:bookmarkEnd w:id="69"/>
      <w:bookmarkEnd w:id="70"/>
      <w:bookmarkEnd w:id="71"/>
      <w:bookmarkEnd w:id="72"/>
      <w:bookmarkEnd w:id="73"/>
    </w:p>
    <w:p>
      <w:pPr>
        <w:pStyle w:val="11"/>
        <w:spacing w:line="500" w:lineRule="exact"/>
        <w:rPr>
          <w:rFonts w:ascii="宋体" w:hAnsi="宋体" w:eastAsia="宋体" w:cs="宋体"/>
          <w:b w:val="0"/>
          <w:bCs w:val="0"/>
          <w:color w:val="000000" w:themeColor="text1"/>
          <w:spacing w:val="0"/>
          <w:sz w:val="24"/>
          <w:highlight w:val="non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采购内容概况</w:t>
      </w:r>
      <w:bookmarkEnd w:id="65"/>
      <w:bookmarkEnd w:id="66"/>
      <w:bookmarkEnd w:id="67"/>
      <w:r>
        <w:rPr>
          <w:rFonts w:hint="eastAsia" w:ascii="宋体" w:hAnsi="宋体" w:eastAsia="宋体" w:cs="宋体"/>
          <w:b w:val="0"/>
          <w:bCs w:val="0"/>
          <w:color w:val="000000" w:themeColor="text1"/>
          <w:spacing w:val="0"/>
          <w:sz w:val="24"/>
          <w:highlight w:val="none"/>
          <w14:textFill>
            <w14:solidFill>
              <w14:schemeClr w14:val="tx1"/>
            </w14:solidFill>
          </w14:textFill>
        </w:rPr>
        <w:t>：详见投标须知前附表。</w:t>
      </w:r>
    </w:p>
    <w:p>
      <w:pPr>
        <w:pStyle w:val="11"/>
        <w:spacing w:line="500" w:lineRule="exact"/>
        <w:rPr>
          <w:rFonts w:ascii="宋体" w:hAnsi="宋体" w:eastAsia="宋体" w:cs="宋体"/>
          <w:color w:val="000000" w:themeColor="text1"/>
          <w:spacing w:val="0"/>
          <w:sz w:val="24"/>
          <w:highlight w:val="none"/>
          <w14:textFill>
            <w14:solidFill>
              <w14:schemeClr w14:val="tx1"/>
            </w14:solidFill>
          </w14:textFill>
        </w:rPr>
      </w:pPr>
      <w:r>
        <w:rPr>
          <w:rFonts w:hint="eastAsia" w:ascii="宋体" w:hAnsi="宋体" w:eastAsia="宋体" w:cs="宋体"/>
          <w:color w:val="000000" w:themeColor="text1"/>
          <w:spacing w:val="0"/>
          <w:sz w:val="24"/>
          <w:highlight w:val="none"/>
          <w14:textFill>
            <w14:solidFill>
              <w14:schemeClr w14:val="tx1"/>
            </w14:solidFill>
          </w14:textFill>
        </w:rPr>
        <w:t>1、综合说明</w:t>
      </w:r>
    </w:p>
    <w:p>
      <w:pPr>
        <w:pStyle w:val="11"/>
        <w:spacing w:line="500" w:lineRule="exact"/>
        <w:rPr>
          <w:rFonts w:ascii="宋体" w:hAnsi="宋体" w:eastAsia="宋体" w:cs="宋体"/>
          <w:b w:val="0"/>
          <w:bCs w:val="0"/>
          <w:color w:val="000000" w:themeColor="text1"/>
          <w:spacing w:val="0"/>
          <w:sz w:val="24"/>
          <w:highlight w:val="non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（一）适用范围</w:t>
      </w:r>
    </w:p>
    <w:p>
      <w:pPr>
        <w:pStyle w:val="11"/>
        <w:spacing w:line="500" w:lineRule="exact"/>
        <w:rPr>
          <w:rFonts w:ascii="宋体" w:hAnsi="宋体" w:eastAsia="宋体" w:cs="宋体"/>
          <w:b w:val="0"/>
          <w:bCs w:val="0"/>
          <w:color w:val="000000" w:themeColor="text1"/>
          <w:spacing w:val="0"/>
          <w:sz w:val="24"/>
          <w:highlight w:val="none"/>
          <w14:textFill>
            <w14:solidFill>
              <w14:schemeClr w14:val="tx1"/>
            </w14:solidFill>
          </w14:textFill>
        </w:rPr>
      </w:pPr>
      <w:r>
        <w:rPr>
          <w:rFonts w:hint="eastAsia" w:ascii="宋体" w:hAnsi="宋体" w:eastAsia="宋体" w:cs="宋体"/>
          <w:b w:val="0"/>
          <w:bCs w:val="0"/>
          <w:color w:val="000000" w:themeColor="text1"/>
          <w:spacing w:val="0"/>
          <w:sz w:val="24"/>
          <w:highlight w:val="none"/>
          <w14:textFill>
            <w14:solidFill>
              <w14:schemeClr w14:val="tx1"/>
            </w14:solidFill>
          </w14:textFill>
        </w:rPr>
        <w:t xml:space="preserve"> 本招标文件仅适用于本次招标所叙述的劳务服务采购。</w:t>
      </w:r>
    </w:p>
    <w:p>
      <w:pPr>
        <w:spacing w:line="500" w:lineRule="exact"/>
        <w:rPr>
          <w:rFonts w:ascii="宋体" w:hAnsi="宋体" w:cs="宋体"/>
          <w:b/>
          <w:bCs/>
          <w:color w:val="000000" w:themeColor="text1"/>
          <w:sz w:val="24"/>
          <w:szCs w:val="28"/>
          <w:highlight w:val="none"/>
          <w14:textFill>
            <w14:solidFill>
              <w14:schemeClr w14:val="tx1"/>
            </w14:solidFill>
          </w14:textFill>
        </w:rPr>
      </w:pPr>
      <w:r>
        <w:rPr>
          <w:rFonts w:hint="eastAsia" w:ascii="宋体" w:hAnsi="宋体" w:cs="宋体"/>
          <w:b/>
          <w:bCs/>
          <w:color w:val="000000" w:themeColor="text1"/>
          <w:sz w:val="24"/>
          <w:szCs w:val="28"/>
          <w:highlight w:val="none"/>
          <w14:textFill>
            <w14:solidFill>
              <w14:schemeClr w14:val="tx1"/>
            </w14:solidFill>
          </w14:textFill>
        </w:rPr>
        <w:t>2、定义</w:t>
      </w:r>
    </w:p>
    <w:p>
      <w:pPr>
        <w:spacing w:line="500" w:lineRule="exact"/>
        <w:rPr>
          <w:rFonts w:ascii="宋体" w:hAnsi="宋体" w:cs="宋体"/>
          <w:color w:val="000000" w:themeColor="text1"/>
          <w:sz w:val="24"/>
          <w:szCs w:val="28"/>
          <w:highlight w:val="none"/>
          <w14:textFill>
            <w14:solidFill>
              <w14:schemeClr w14:val="tx1"/>
            </w14:solidFill>
          </w14:textFill>
        </w:rPr>
      </w:pPr>
      <w:bookmarkStart w:id="74" w:name="_Toc40854916"/>
      <w:bookmarkStart w:id="75" w:name="_Toc56937781"/>
      <w:bookmarkStart w:id="76" w:name="_Toc41382530"/>
      <w:r>
        <w:rPr>
          <w:rFonts w:hint="eastAsia" w:ascii="宋体" w:hAnsi="宋体" w:cs="宋体"/>
          <w:color w:val="000000" w:themeColor="text1"/>
          <w:sz w:val="24"/>
          <w:szCs w:val="28"/>
          <w:highlight w:val="none"/>
          <w14:textFill>
            <w14:solidFill>
              <w14:schemeClr w14:val="tx1"/>
            </w14:solidFill>
          </w14:textFill>
        </w:rPr>
        <w:t>2.1 “招标人”系指</w:t>
      </w:r>
      <w:r>
        <w:rPr>
          <w:rFonts w:hint="eastAsia" w:ascii="宋体" w:hAnsi="宋体" w:cs="宋体"/>
          <w:color w:val="000000" w:themeColor="text1"/>
          <w:sz w:val="24"/>
          <w:highlight w:val="none"/>
          <w14:textFill>
            <w14:solidFill>
              <w14:schemeClr w14:val="tx1"/>
            </w14:solidFill>
          </w14:textFill>
        </w:rPr>
        <w:t>江苏煤炭地质物测队</w:t>
      </w:r>
      <w:r>
        <w:rPr>
          <w:rFonts w:hint="eastAsia" w:ascii="宋体" w:hAnsi="宋体" w:cs="宋体"/>
          <w:color w:val="000000" w:themeColor="text1"/>
          <w:sz w:val="24"/>
          <w:szCs w:val="28"/>
          <w:highlight w:val="none"/>
          <w14:textFill>
            <w14:solidFill>
              <w14:schemeClr w14:val="tx1"/>
            </w14:solidFill>
          </w14:textFill>
        </w:rPr>
        <w:t>。</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2.2 “投标人”系指向招标人提交投标文件的供应商。</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2.3 “货物”系指投标人按照招标文件向招标人提供的所有采购项目等。</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2.4 “服务”系指根据招标文件规定中标人必须承担的有关投标产品的装卸及运输和招标文件中规定中标人应承担的义务，以及招标文件中未规定，但依法有利于合同履行的原则，应当有种人承担的其他义务。</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2.5 “书面形式”系指任何手写、打印或印刷的各种函件，不包括电传、电话、传真及电子邮件。</w:t>
      </w:r>
    </w:p>
    <w:p>
      <w:pPr>
        <w:adjustRightInd w:val="0"/>
        <w:snapToGrid w:val="0"/>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3、报价范围</w:t>
      </w:r>
      <w:bookmarkEnd w:id="74"/>
      <w:bookmarkEnd w:id="75"/>
      <w:bookmarkEnd w:id="76"/>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3.1 列入本次报价范围：指本项目货物服务所产生的材料费、包装费、人工费、服务费（含售后服务）、税费、运费、装卸费等全部费用。</w:t>
      </w:r>
    </w:p>
    <w:p>
      <w:pPr>
        <w:spacing w:line="500" w:lineRule="exact"/>
        <w:rPr>
          <w:rFonts w:ascii="宋体" w:hAnsi="宋体" w:cs="宋体"/>
          <w:b/>
          <w:bCs/>
          <w:color w:val="000000" w:themeColor="text1"/>
          <w:sz w:val="24"/>
          <w:highlight w:val="none"/>
          <w14:textFill>
            <w14:solidFill>
              <w14:schemeClr w14:val="tx1"/>
            </w14:solidFill>
          </w14:textFill>
        </w:rPr>
      </w:pPr>
      <w:bookmarkStart w:id="77" w:name="_Toc41382531"/>
      <w:bookmarkStart w:id="78" w:name="_Toc56937784"/>
      <w:bookmarkStart w:id="79" w:name="_Toc40854917"/>
      <w:r>
        <w:rPr>
          <w:rFonts w:hint="eastAsia" w:ascii="宋体" w:hAnsi="宋体" w:cs="宋体"/>
          <w:b/>
          <w:bCs/>
          <w:color w:val="000000" w:themeColor="text1"/>
          <w:sz w:val="24"/>
          <w:highlight w:val="none"/>
          <w14:textFill>
            <w14:solidFill>
              <w14:schemeClr w14:val="tx1"/>
            </w14:solidFill>
          </w14:textFill>
        </w:rPr>
        <w:t>4、招标方式</w:t>
      </w:r>
      <w:bookmarkEnd w:id="77"/>
      <w:bookmarkEnd w:id="78"/>
      <w:bookmarkEnd w:id="79"/>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4.1本次招标实行公开招标的方式。</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w:t>
      </w:r>
      <w:r>
        <w:rPr>
          <w:rFonts w:hint="eastAsia" w:ascii="宋体" w:hAnsi="宋体" w:cs="宋体"/>
          <w:color w:val="000000" w:themeColor="text1"/>
          <w:sz w:val="24"/>
          <w:szCs w:val="28"/>
          <w:highlight w:val="none"/>
          <w14:textFill>
            <w14:solidFill>
              <w14:schemeClr w14:val="tx1"/>
            </w14:solidFill>
          </w14:textFill>
        </w:rPr>
        <w:t>本次招标将依据《中华人民共和国招标投标法》、《中华人民共和国政府采购法》、《中华人民共和国招标投标实施条例》、《中华人民共和国政府采购实施条例》等相关法律、法规执行，坚持平等投标，公平评标，择优定标的原则，维护招投标双方的合法权益。</w:t>
      </w:r>
    </w:p>
    <w:p>
      <w:pPr>
        <w:adjustRightInd w:val="0"/>
        <w:snapToGrid w:val="0"/>
        <w:spacing w:line="500" w:lineRule="exact"/>
        <w:rPr>
          <w:rFonts w:ascii="宋体" w:hAnsi="宋体" w:cs="宋体"/>
          <w:b/>
          <w:bCs/>
          <w:color w:val="000000" w:themeColor="text1"/>
          <w:sz w:val="24"/>
          <w:highlight w:val="none"/>
          <w14:textFill>
            <w14:solidFill>
              <w14:schemeClr w14:val="tx1"/>
            </w14:solidFill>
          </w14:textFill>
        </w:rPr>
      </w:pPr>
      <w:bookmarkStart w:id="80" w:name="_Toc56937785"/>
      <w:bookmarkStart w:id="81" w:name="_Toc40854918"/>
      <w:bookmarkStart w:id="82" w:name="_Toc41382532"/>
      <w:r>
        <w:rPr>
          <w:rFonts w:hint="eastAsia" w:ascii="宋体" w:hAnsi="宋体" w:cs="宋体"/>
          <w:b/>
          <w:bCs/>
          <w:color w:val="000000" w:themeColor="text1"/>
          <w:sz w:val="24"/>
          <w:highlight w:val="none"/>
          <w14:textFill>
            <w14:solidFill>
              <w14:schemeClr w14:val="tx1"/>
            </w14:solidFill>
          </w14:textFill>
        </w:rPr>
        <w:t>5、投标人</w:t>
      </w:r>
      <w:bookmarkEnd w:id="80"/>
      <w:bookmarkEnd w:id="81"/>
      <w:bookmarkEnd w:id="82"/>
      <w:r>
        <w:rPr>
          <w:rFonts w:hint="eastAsia" w:ascii="宋体" w:hAnsi="宋体" w:cs="宋体"/>
          <w:b/>
          <w:bCs/>
          <w:color w:val="000000" w:themeColor="text1"/>
          <w:sz w:val="24"/>
          <w:highlight w:val="none"/>
          <w14:textFill>
            <w14:solidFill>
              <w14:schemeClr w14:val="tx1"/>
            </w14:solidFill>
          </w14:textFill>
        </w:rPr>
        <w:t>资格：详见投标须知前附表。</w:t>
      </w:r>
    </w:p>
    <w:p>
      <w:pPr>
        <w:pStyle w:val="19"/>
        <w:tabs>
          <w:tab w:val="left" w:pos="360"/>
        </w:tabs>
        <w:snapToGrid w:val="0"/>
        <w:spacing w:line="500" w:lineRule="exact"/>
        <w:rPr>
          <w:rFonts w:ascii="宋体" w:hAnsi="宋体" w:cs="宋体"/>
          <w:b/>
          <w:bCs/>
          <w:color w:val="000000" w:themeColor="text1"/>
          <w:highlight w:val="none"/>
          <w14:textFill>
            <w14:solidFill>
              <w14:schemeClr w14:val="tx1"/>
            </w14:solidFill>
          </w14:textFill>
        </w:rPr>
      </w:pPr>
      <w:bookmarkStart w:id="83" w:name="_Toc56937786"/>
      <w:bookmarkStart w:id="84" w:name="_Toc40854919"/>
      <w:bookmarkStart w:id="85" w:name="_Toc41382533"/>
      <w:bookmarkStart w:id="86" w:name="_Toc40854924"/>
      <w:bookmarkStart w:id="87" w:name="_Toc41382539"/>
      <w:bookmarkStart w:id="88" w:name="_Toc56937792"/>
      <w:bookmarkStart w:id="89" w:name="_Toc225585655"/>
      <w:bookmarkStart w:id="90" w:name="_Toc14435"/>
      <w:bookmarkStart w:id="91" w:name="_Toc224984521"/>
      <w:r>
        <w:rPr>
          <w:rFonts w:hint="eastAsia" w:ascii="宋体" w:hAnsi="宋体" w:cs="宋体"/>
          <w:b/>
          <w:bCs/>
          <w:color w:val="000000" w:themeColor="text1"/>
          <w:highlight w:val="none"/>
          <w14:textFill>
            <w14:solidFill>
              <w14:schemeClr w14:val="tx1"/>
            </w14:solidFill>
          </w14:textFill>
        </w:rPr>
        <w:t>6、联合体投标</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6.1本项目不接受联合体投标。</w:t>
      </w:r>
    </w:p>
    <w:p>
      <w:pPr>
        <w:spacing w:line="500" w:lineRule="exact"/>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7、投标费用</w:t>
      </w:r>
      <w:bookmarkEnd w:id="83"/>
      <w:bookmarkEnd w:id="84"/>
      <w:bookmarkEnd w:id="85"/>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7.1投标人在投标活动中的有关准备工作、现场踏勘、编制和递交投标文件等所发生的一切费用均由投标人自行负责，无论招标过程的处理方式和最后评标结果如何，招标人对投标人不承担任何费用。</w:t>
      </w:r>
      <w:bookmarkStart w:id="92" w:name="_Toc56937787"/>
      <w:bookmarkStart w:id="93" w:name="_Toc40854920"/>
      <w:bookmarkStart w:id="94" w:name="_Toc41382534"/>
    </w:p>
    <w:bookmarkEnd w:id="92"/>
    <w:bookmarkEnd w:id="93"/>
    <w:bookmarkEnd w:id="94"/>
    <w:p>
      <w:pPr>
        <w:pStyle w:val="32"/>
        <w:spacing w:before="0" w:after="0" w:line="500" w:lineRule="exact"/>
        <w:rPr>
          <w:rFonts w:ascii="宋体" w:hAnsi="宋体" w:cs="宋体"/>
          <w:color w:val="000000" w:themeColor="text1"/>
          <w:highlight w:val="none"/>
          <w14:textFill>
            <w14:solidFill>
              <w14:schemeClr w14:val="tx1"/>
            </w14:solidFill>
          </w14:textFill>
        </w:rPr>
      </w:pPr>
      <w:bookmarkStart w:id="95" w:name="_Toc107479267"/>
      <w:bookmarkStart w:id="96" w:name="_Toc118809474"/>
      <w:r>
        <w:rPr>
          <w:rFonts w:hint="eastAsia" w:ascii="宋体" w:hAnsi="宋体" w:cs="宋体"/>
          <w:color w:val="000000" w:themeColor="text1"/>
          <w:highlight w:val="none"/>
          <w14:textFill>
            <w14:solidFill>
              <w14:schemeClr w14:val="tx1"/>
            </w14:solidFill>
          </w14:textFill>
        </w:rPr>
        <w:t>（二）招标文件</w:t>
      </w:r>
      <w:bookmarkEnd w:id="86"/>
      <w:bookmarkEnd w:id="87"/>
      <w:bookmarkEnd w:id="88"/>
      <w:bookmarkEnd w:id="89"/>
      <w:bookmarkEnd w:id="90"/>
      <w:bookmarkEnd w:id="91"/>
      <w:bookmarkEnd w:id="95"/>
      <w:bookmarkEnd w:id="96"/>
      <w:bookmarkStart w:id="97" w:name="_Toc41382540"/>
      <w:bookmarkStart w:id="98" w:name="_Toc56937793"/>
      <w:bookmarkStart w:id="99" w:name="_Toc40854925"/>
    </w:p>
    <w:p>
      <w:pPr>
        <w:pStyle w:val="19"/>
        <w:snapToGrid w:val="0"/>
        <w:spacing w:line="500" w:lineRule="exact"/>
        <w:rPr>
          <w:rFonts w:ascii="宋体" w:hAnsi="宋体" w:cs="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8、招标文件的组成</w:t>
      </w:r>
      <w:bookmarkEnd w:id="97"/>
      <w:bookmarkEnd w:id="98"/>
      <w:bookmarkEnd w:id="99"/>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8.1招</w:t>
      </w:r>
      <w:r>
        <w:rPr>
          <w:rFonts w:hint="eastAsia" w:ascii="宋体" w:hAnsi="宋体" w:cs="宋体"/>
          <w:color w:val="000000" w:themeColor="text1"/>
          <w:sz w:val="24"/>
          <w:highlight w:val="none"/>
          <w14:textFill>
            <w14:solidFill>
              <w14:schemeClr w14:val="tx1"/>
            </w14:solidFill>
          </w14:textFill>
        </w:rPr>
        <w:t>标文件包括下列内容：</w:t>
      </w:r>
    </w:p>
    <w:p>
      <w:pPr>
        <w:pStyle w:val="19"/>
        <w:snapToGrid w:val="0"/>
        <w:spacing w:line="500" w:lineRule="exact"/>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（1）本招标文件</w:t>
      </w:r>
      <w:r>
        <w:rPr>
          <w:rFonts w:hint="eastAsia" w:ascii="宋体" w:hAnsi="宋体" w:cs="宋体"/>
          <w:color w:val="000000" w:themeColor="text1"/>
          <w:highlight w:val="none"/>
          <w14:textFill>
            <w14:solidFill>
              <w14:schemeClr w14:val="tx1"/>
            </w14:solidFill>
          </w14:textFill>
        </w:rPr>
        <w:t>总目录所列内容</w:t>
      </w:r>
      <w:r>
        <w:rPr>
          <w:rFonts w:hint="eastAsia" w:ascii="宋体" w:hAnsi="宋体" w:cs="宋体"/>
          <w:color w:val="000000" w:themeColor="text1"/>
          <w:szCs w:val="28"/>
          <w:highlight w:val="none"/>
          <w14:textFill>
            <w14:solidFill>
              <w14:schemeClr w14:val="tx1"/>
            </w14:solidFill>
          </w14:textFill>
        </w:rPr>
        <w:t>；</w:t>
      </w:r>
    </w:p>
    <w:p>
      <w:pPr>
        <w:pStyle w:val="19"/>
        <w:snapToGrid w:val="0"/>
        <w:spacing w:line="500" w:lineRule="exact"/>
        <w:rPr>
          <w:rFonts w:ascii="宋体" w:hAnsi="宋体" w:cs="宋体"/>
          <w:color w:val="000000" w:themeColor="text1"/>
          <w:szCs w:val="1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（2）招标人在招标期间的所有补充文件(包括招标答疑纪要、对招标文件的澄清或修改内容)。</w:t>
      </w:r>
    </w:p>
    <w:p>
      <w:pPr>
        <w:pStyle w:val="19"/>
        <w:snapToGrid w:val="0"/>
        <w:spacing w:line="5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除上述所列内容外，招标人的任何工作人员对投标人所作的任何口头解释、介绍、答复，只能供投标人参考，对招标人和投标人均无任何约束力。</w:t>
      </w:r>
    </w:p>
    <w:p>
      <w:pPr>
        <w:pStyle w:val="19"/>
        <w:snapToGrid w:val="0"/>
        <w:spacing w:line="500" w:lineRule="exact"/>
        <w:rPr>
          <w:rFonts w:ascii="宋体" w:hAnsi="宋体" w:cs="宋体"/>
          <w:b/>
          <w:bCs/>
          <w:color w:val="000000" w:themeColor="text1"/>
          <w:szCs w:val="28"/>
          <w:highlight w:val="none"/>
          <w14:textFill>
            <w14:solidFill>
              <w14:schemeClr w14:val="tx1"/>
            </w14:solidFill>
          </w14:textFill>
        </w:rPr>
      </w:pPr>
      <w:bookmarkStart w:id="100" w:name="_Toc40854926"/>
      <w:bookmarkStart w:id="101" w:name="_Toc41382541"/>
      <w:bookmarkStart w:id="102" w:name="_Toc56937794"/>
      <w:r>
        <w:rPr>
          <w:rFonts w:hint="eastAsia" w:ascii="宋体" w:hAnsi="宋体" w:cs="宋体"/>
          <w:b/>
          <w:bCs/>
          <w:color w:val="000000" w:themeColor="text1"/>
          <w:szCs w:val="28"/>
          <w:highlight w:val="none"/>
          <w14:textFill>
            <w14:solidFill>
              <w14:schemeClr w14:val="tx1"/>
            </w14:solidFill>
          </w14:textFill>
        </w:rPr>
        <w:t>9、现场踏勘与招标答疑</w:t>
      </w:r>
      <w:bookmarkEnd w:id="100"/>
      <w:bookmarkEnd w:id="101"/>
      <w:bookmarkEnd w:id="102"/>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9.1</w:t>
      </w:r>
      <w:r>
        <w:rPr>
          <w:rFonts w:hint="eastAsia" w:ascii="宋体" w:hAnsi="宋体" w:cs="宋体"/>
          <w:color w:val="000000" w:themeColor="text1"/>
          <w:sz w:val="24"/>
          <w:highlight w:val="none"/>
          <w14:textFill>
            <w14:solidFill>
              <w14:schemeClr w14:val="tx1"/>
            </w14:solidFill>
          </w14:textFill>
        </w:rPr>
        <w:t>现场踏勘由投标人自行前往。</w:t>
      </w:r>
    </w:p>
    <w:p>
      <w:pPr>
        <w:spacing w:line="500" w:lineRule="exac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9.2</w:t>
      </w:r>
      <w:r>
        <w:rPr>
          <w:rFonts w:hint="eastAsia" w:ascii="宋体" w:hAnsi="宋体" w:cs="宋体"/>
          <w:color w:val="000000" w:themeColor="text1"/>
          <w:sz w:val="24"/>
          <w:szCs w:val="20"/>
          <w:highlight w:val="none"/>
          <w14:textFill>
            <w14:solidFill>
              <w14:schemeClr w14:val="tx1"/>
            </w14:solidFill>
          </w14:textFill>
        </w:rPr>
        <w:t>投标人应仔细阅读和检查招标文件的全部内容。如发现缺页或附件不全，应及时向招标人提出，以便补齐。如有疑问和有异议的，必须在收到招标文件3日内采用书面形式(包括信函、传真、电报，必须加盖公章和写明日期，下同)提交至招标代理机构，招标人将用书面形式予以答复。如对招标文件没有异议，在收到招标文件5日内向招标代理机构提交加盖公章的无异议确认函。若不提供，视为默认。</w:t>
      </w:r>
    </w:p>
    <w:p>
      <w:pPr>
        <w:pStyle w:val="19"/>
        <w:snapToGrid w:val="0"/>
        <w:spacing w:line="500" w:lineRule="exact"/>
        <w:rPr>
          <w:rFonts w:ascii="宋体" w:hAnsi="宋体" w:cs="宋体"/>
          <w:b/>
          <w:bCs/>
          <w:color w:val="000000" w:themeColor="text1"/>
          <w:szCs w:val="28"/>
          <w:highlight w:val="none"/>
          <w14:textFill>
            <w14:solidFill>
              <w14:schemeClr w14:val="tx1"/>
            </w14:solidFill>
          </w14:textFill>
        </w:rPr>
      </w:pPr>
      <w:bookmarkStart w:id="103" w:name="_Toc56937795"/>
      <w:bookmarkStart w:id="104" w:name="_Toc41382542"/>
      <w:bookmarkStart w:id="105" w:name="_Toc40854927"/>
      <w:r>
        <w:rPr>
          <w:rFonts w:hint="eastAsia" w:ascii="宋体" w:hAnsi="宋体" w:cs="宋体"/>
          <w:b/>
          <w:bCs/>
          <w:color w:val="000000" w:themeColor="text1"/>
          <w:szCs w:val="28"/>
          <w:highlight w:val="none"/>
          <w14:textFill>
            <w14:solidFill>
              <w14:schemeClr w14:val="tx1"/>
            </w14:solidFill>
          </w14:textFill>
        </w:rPr>
        <w:t>10、招标文件的修改</w:t>
      </w:r>
      <w:bookmarkEnd w:id="103"/>
      <w:bookmarkEnd w:id="104"/>
      <w:bookmarkEnd w:id="105"/>
    </w:p>
    <w:p>
      <w:pPr>
        <w:pStyle w:val="12"/>
        <w:snapToGrid w:val="0"/>
        <w:spacing w:line="500" w:lineRule="exact"/>
        <w:ind w:firstLine="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10.1招标人可以对已发出的招标文件进行必要的澄清或者修改。澄清或者修改的内容可能影响投标文件编制的，招标人应当在投标截止时间至少15日前，以书面形式通知所有获取招标文件的投标人；不足15日的，招标人应当顺延提交投标文件的截止时间。</w:t>
      </w:r>
    </w:p>
    <w:p>
      <w:pPr>
        <w:pStyle w:val="12"/>
        <w:snapToGrid w:val="0"/>
        <w:spacing w:line="500" w:lineRule="exact"/>
        <w:ind w:firstLine="0"/>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10.2补充文件对投标人起约束作用。</w:t>
      </w:r>
    </w:p>
    <w:p>
      <w:pPr>
        <w:pStyle w:val="12"/>
        <w:snapToGrid w:val="0"/>
        <w:spacing w:line="500" w:lineRule="exact"/>
        <w:ind w:firstLine="0"/>
        <w:rPr>
          <w:rFonts w:ascii="宋体" w:hAnsi="宋体" w:cs="宋体"/>
          <w:b/>
          <w:bCs/>
          <w:color w:val="000000" w:themeColor="text1"/>
          <w:sz w:val="24"/>
          <w:highlight w:val="none"/>
          <w14:textFill>
            <w14:solidFill>
              <w14:schemeClr w14:val="tx1"/>
            </w14:solidFill>
          </w14:textFill>
        </w:rPr>
      </w:pPr>
      <w:bookmarkStart w:id="106" w:name="_Toc40854928"/>
      <w:bookmarkStart w:id="107" w:name="_Toc41382543"/>
      <w:bookmarkStart w:id="108" w:name="_Toc56937796"/>
      <w:r>
        <w:rPr>
          <w:rFonts w:hint="eastAsia" w:ascii="宋体" w:hAnsi="宋体" w:cs="宋体"/>
          <w:b/>
          <w:bCs/>
          <w:color w:val="000000" w:themeColor="text1"/>
          <w:sz w:val="24"/>
          <w:highlight w:val="none"/>
          <w14:textFill>
            <w14:solidFill>
              <w14:schemeClr w14:val="tx1"/>
            </w14:solidFill>
          </w14:textFill>
        </w:rPr>
        <w:t>11、招标文件的效力</w:t>
      </w:r>
      <w:bookmarkEnd w:id="106"/>
      <w:bookmarkEnd w:id="107"/>
      <w:bookmarkEnd w:id="108"/>
    </w:p>
    <w:p>
      <w:pPr>
        <w:pStyle w:val="12"/>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是招标和投标的有效依据，也是中标后签订合同的依据，同时也是合同的组成文件，对招投标双方均具有约束力。凡不遵守招标文件规定的投标或对招标文件的实质性内容不响应者，将可能被拒绝或以无效标处理。</w:t>
      </w:r>
      <w:bookmarkStart w:id="109" w:name="_Toc40854929"/>
      <w:bookmarkStart w:id="110" w:name="_Toc41382544"/>
      <w:bookmarkStart w:id="111" w:name="_Toc56937797"/>
    </w:p>
    <w:p>
      <w:pPr>
        <w:pStyle w:val="32"/>
        <w:spacing w:before="0" w:after="0" w:line="500" w:lineRule="exact"/>
        <w:rPr>
          <w:rFonts w:ascii="宋体" w:hAnsi="宋体" w:cs="宋体"/>
          <w:color w:val="000000" w:themeColor="text1"/>
          <w:highlight w:val="none"/>
          <w14:textFill>
            <w14:solidFill>
              <w14:schemeClr w14:val="tx1"/>
            </w14:solidFill>
          </w14:textFill>
        </w:rPr>
      </w:pPr>
      <w:bookmarkStart w:id="112" w:name="_Toc224984522"/>
      <w:bookmarkStart w:id="113" w:name="_Toc225585656"/>
      <w:bookmarkStart w:id="114" w:name="_Toc31312"/>
      <w:bookmarkStart w:id="115" w:name="_Toc107479268"/>
      <w:bookmarkStart w:id="116" w:name="_Toc118809475"/>
      <w:r>
        <w:rPr>
          <w:rFonts w:hint="eastAsia" w:ascii="宋体" w:hAnsi="宋体" w:cs="宋体"/>
          <w:color w:val="000000" w:themeColor="text1"/>
          <w:highlight w:val="none"/>
          <w14:textFill>
            <w14:solidFill>
              <w14:schemeClr w14:val="tx1"/>
            </w14:solidFill>
          </w14:textFill>
        </w:rPr>
        <w:t>（三）投标文件</w:t>
      </w:r>
      <w:bookmarkEnd w:id="109"/>
      <w:bookmarkEnd w:id="110"/>
      <w:bookmarkEnd w:id="111"/>
      <w:bookmarkEnd w:id="112"/>
      <w:bookmarkEnd w:id="113"/>
      <w:bookmarkEnd w:id="114"/>
      <w:bookmarkEnd w:id="115"/>
      <w:bookmarkEnd w:id="116"/>
      <w:bookmarkStart w:id="117" w:name="_Toc41382545"/>
      <w:bookmarkStart w:id="118" w:name="_Toc56937798"/>
      <w:bookmarkStart w:id="119" w:name="_Toc40854930"/>
    </w:p>
    <w:p>
      <w:pPr>
        <w:pStyle w:val="12"/>
        <w:snapToGrid w:val="0"/>
        <w:spacing w:line="500" w:lineRule="exact"/>
        <w:ind w:firstLine="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投标文件的语言及度量衡及货币单位</w:t>
      </w:r>
      <w:bookmarkEnd w:id="117"/>
      <w:bookmarkEnd w:id="118"/>
      <w:bookmarkEnd w:id="119"/>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12.1投</w:t>
      </w:r>
      <w:r>
        <w:rPr>
          <w:rFonts w:hint="eastAsia" w:ascii="宋体" w:hAnsi="宋体" w:cs="宋体"/>
          <w:color w:val="000000" w:themeColor="text1"/>
          <w:sz w:val="24"/>
          <w:highlight w:val="none"/>
          <w14:textFill>
            <w14:solidFill>
              <w14:schemeClr w14:val="tx1"/>
            </w14:solidFill>
          </w14:textFill>
        </w:rPr>
        <w:t>标文件和与投标有关的所有文件均应使用中文。</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12.2除</w:t>
      </w:r>
      <w:r>
        <w:rPr>
          <w:rFonts w:hint="eastAsia" w:ascii="宋体" w:hAnsi="宋体" w:cs="宋体"/>
          <w:color w:val="000000" w:themeColor="text1"/>
          <w:sz w:val="24"/>
          <w:highlight w:val="none"/>
          <w14:textFill>
            <w14:solidFill>
              <w14:schemeClr w14:val="tx1"/>
            </w14:solidFill>
          </w14:textFill>
        </w:rPr>
        <w:t>技术规格中另有规定外，投标文件使用的度量衡单位，均采用中华人民共和国法定计量单位。</w:t>
      </w:r>
      <w:bookmarkStart w:id="120" w:name="_Toc40854931"/>
      <w:bookmarkStart w:id="121" w:name="_Toc41382546"/>
      <w:bookmarkStart w:id="122" w:name="_Toc56937799"/>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12.3投标货币为人民币。</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投标文件的组成</w:t>
      </w:r>
      <w:bookmarkEnd w:id="120"/>
      <w:bookmarkEnd w:id="121"/>
      <w:bookmarkEnd w:id="122"/>
    </w:p>
    <w:p>
      <w:pPr>
        <w:autoSpaceDE w:val="0"/>
        <w:autoSpaceDN w:val="0"/>
        <w:spacing w:line="5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投标人应仔细阅读招标文件中的所有内容，按照招标文件及招标项目技术要求，详细编制投标文件，并保证投标文件的正确性和真实性。不按招标文件的要求提供的投标文件可能导致被拒绝。投标文件组成如下：</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投标文件须按以下顺序编制并编列页码（以下内容包含但不限于）：</w:t>
      </w:r>
    </w:p>
    <w:p>
      <w:pPr>
        <w:autoSpaceDE w:val="0"/>
        <w:autoSpaceDN w:val="0"/>
        <w:spacing w:line="500" w:lineRule="exact"/>
        <w:textAlignment w:val="bottom"/>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一、商务部分</w:t>
      </w:r>
    </w:p>
    <w:p>
      <w:pPr>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（2）法定代表人身份证明书、授权委托书（附件2）</w:t>
      </w:r>
    </w:p>
    <w:p>
      <w:pPr>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（3）开标一览表、投标分项报价明细表（附件4）</w:t>
      </w:r>
    </w:p>
    <w:p>
      <w:pPr>
        <w:tabs>
          <w:tab w:val="left" w:pos="126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（5）企业实力（评分标准）</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（6）项目业绩（附件6）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（1）管理制度（人员管理）</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（2）项目机构设置（项目团队）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（3）应急服务措施</w:t>
      </w:r>
    </w:p>
    <w:p>
      <w:pPr>
        <w:tabs>
          <w:tab w:val="left" w:pos="993"/>
          <w:tab w:val="left" w:pos="1134"/>
          <w:tab w:val="left" w:pos="1418"/>
        </w:tabs>
        <w:autoSpaceDE w:val="0"/>
        <w:autoSpaceDN w:val="0"/>
        <w:adjustRightInd w:val="0"/>
        <w:snapToGrid w:val="0"/>
        <w:spacing w:line="500" w:lineRule="exact"/>
        <w:ind w:firstLine="482"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技术部分应针对本项目情况</w:t>
      </w:r>
      <w:r>
        <w:rPr>
          <w:rFonts w:hint="eastAsia" w:ascii="宋体" w:hAnsi="宋体" w:cs="宋体"/>
          <w:b/>
          <w:bCs/>
          <w:color w:val="000000" w:themeColor="text1"/>
          <w:sz w:val="24"/>
          <w:highlight w:val="none"/>
          <w14:textFill>
            <w14:solidFill>
              <w14:schemeClr w14:val="tx1"/>
            </w14:solidFill>
          </w14:textFill>
        </w:rPr>
        <w:t>，投标人各自按照合理组织本项目应采取措施，本着有利于为完成本招标文</w:t>
      </w:r>
      <w:r>
        <w:rPr>
          <w:rFonts w:hint="eastAsia" w:ascii="宋体" w:hAnsi="宋体" w:cs="宋体"/>
          <w:b/>
          <w:color w:val="000000" w:themeColor="text1"/>
          <w:kern w:val="0"/>
          <w:sz w:val="24"/>
          <w:highlight w:val="none"/>
          <w14:textFill>
            <w14:solidFill>
              <w14:schemeClr w14:val="tx1"/>
            </w14:solidFill>
          </w14:textFill>
        </w:rPr>
        <w:t>件的招标内容、交货地点、质量等要求，体现实现技术目标的可行和先进性。</w:t>
      </w:r>
    </w:p>
    <w:p>
      <w:pPr>
        <w:tabs>
          <w:tab w:val="left" w:pos="540"/>
          <w:tab w:val="left" w:pos="900"/>
        </w:tabs>
        <w:autoSpaceDE w:val="0"/>
        <w:autoSpaceDN w:val="0"/>
        <w:spacing w:line="500" w:lineRule="exact"/>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三、其他</w:t>
      </w:r>
    </w:p>
    <w:p>
      <w:pPr>
        <w:tabs>
          <w:tab w:val="left" w:pos="540"/>
          <w:tab w:val="left" w:pos="900"/>
        </w:tabs>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（1）安全运营责任书（附件7）</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w:t>
      </w:r>
      <w:r>
        <w:rPr>
          <w:rFonts w:hint="eastAsia" w:ascii="宋体" w:hAnsi="宋体" w:cs="宋体"/>
          <w:color w:val="000000" w:themeColor="text1"/>
          <w:sz w:val="24"/>
          <w:szCs w:val="22"/>
          <w:highlight w:val="none"/>
          <w:lang w:val="zh-CN"/>
          <w14:textFill>
            <w14:solidFill>
              <w14:schemeClr w14:val="tx1"/>
            </w14:solidFill>
          </w14:textFill>
        </w:rPr>
        <w:t>投标人诚信保证书</w:t>
      </w:r>
      <w:r>
        <w:rPr>
          <w:rFonts w:hint="eastAsia" w:ascii="宋体" w:hAnsi="宋体" w:cs="宋体"/>
          <w:color w:val="000000" w:themeColor="text1"/>
          <w:sz w:val="24"/>
          <w:szCs w:val="22"/>
          <w:highlight w:val="none"/>
          <w14:textFill>
            <w14:solidFill>
              <w14:schemeClr w14:val="tx1"/>
            </w14:solidFill>
          </w14:textFill>
        </w:rPr>
        <w:t>（附件9）</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（3）廉洁承诺书（附件10）</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（4）</w:t>
      </w:r>
      <w:r>
        <w:rPr>
          <w:rFonts w:hint="eastAsia" w:ascii="宋体" w:hAnsi="宋体" w:cs="宋体"/>
          <w:color w:val="000000" w:themeColor="text1"/>
          <w:sz w:val="24"/>
          <w:szCs w:val="28"/>
          <w:highlight w:val="none"/>
          <w14:textFill>
            <w14:solidFill>
              <w14:schemeClr w14:val="tx1"/>
            </w14:solidFill>
          </w14:textFill>
        </w:rPr>
        <w:t>其他证明材料</w:t>
      </w:r>
      <w:r>
        <w:rPr>
          <w:rFonts w:hint="eastAsia" w:ascii="宋体" w:hAnsi="宋体" w:cs="宋体"/>
          <w:color w:val="000000" w:themeColor="text1"/>
          <w:sz w:val="24"/>
          <w:szCs w:val="22"/>
          <w:highlight w:val="none"/>
          <w14:textFill>
            <w14:solidFill>
              <w14:schemeClr w14:val="tx1"/>
            </w14:solidFill>
          </w14:textFill>
        </w:rPr>
        <w:t>（附件11）</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注：投标人应如实提供资料，并保证真实可靠，不得弄虚作假。如投标人隐瞒事实真相、弄虚作假，一经查实，取消该投标人的投标资格，若已中标的，取消其中标资格。</w:t>
      </w:r>
    </w:p>
    <w:p>
      <w:pPr>
        <w:tabs>
          <w:tab w:val="left" w:pos="540"/>
          <w:tab w:val="left" w:pos="720"/>
        </w:tabs>
        <w:autoSpaceDE w:val="0"/>
        <w:autoSpaceDN w:val="0"/>
        <w:spacing w:line="500" w:lineRule="exact"/>
        <w:textAlignment w:val="bottom"/>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14、</w:t>
      </w:r>
      <w:r>
        <w:rPr>
          <w:rFonts w:hint="eastAsia" w:ascii="宋体" w:hAnsi="宋体" w:cs="宋体"/>
          <w:b/>
          <w:bCs/>
          <w:color w:val="000000" w:themeColor="text1"/>
          <w:sz w:val="24"/>
          <w:highlight w:val="none"/>
          <w14:textFill>
            <w14:solidFill>
              <w14:schemeClr w14:val="tx1"/>
            </w14:solidFill>
          </w14:textFill>
        </w:rPr>
        <w:t>投标内容填写说明</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投标文件格式</w:t>
      </w:r>
      <w:r>
        <w:rPr>
          <w:rFonts w:hint="eastAsia" w:ascii="宋体" w:hAnsi="宋体" w:cs="宋体"/>
          <w:color w:val="000000" w:themeColor="text1"/>
          <w:sz w:val="24"/>
          <w:szCs w:val="20"/>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投标人须按照第13条规定的内容编制装订成一册（按目录顺序要求）。</w:t>
      </w:r>
    </w:p>
    <w:p>
      <w:pPr>
        <w:autoSpaceDE w:val="0"/>
        <w:autoSpaceDN w:val="0"/>
        <w:spacing w:line="500" w:lineRule="exact"/>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投标文件份数：</w:t>
      </w:r>
      <w:r>
        <w:rPr>
          <w:rFonts w:hint="eastAsia" w:ascii="宋体" w:hAnsi="宋体" w:cs="宋体"/>
          <w:color w:val="000000" w:themeColor="text1"/>
          <w:sz w:val="24"/>
          <w:szCs w:val="28"/>
          <w:highlight w:val="none"/>
          <w14:textFill>
            <w14:solidFill>
              <w14:schemeClr w14:val="tx1"/>
            </w14:solidFill>
          </w14:textFill>
        </w:rPr>
        <w:t>一式五份（一正肆副），</w:t>
      </w:r>
      <w:r>
        <w:rPr>
          <w:rFonts w:hint="eastAsia" w:ascii="宋体" w:hAnsi="宋体" w:cs="宋体"/>
          <w:color w:val="000000" w:themeColor="text1"/>
          <w:sz w:val="24"/>
          <w:highlight w:val="none"/>
          <w14:textFill>
            <w14:solidFill>
              <w14:schemeClr w14:val="tx1"/>
            </w14:solidFill>
          </w14:textFill>
        </w:rPr>
        <w:t>投标文件的正、副本封面应有“正本”、“副本”字样的标记。投标文件正本、副本不一致时，以正本为准。</w:t>
      </w:r>
    </w:p>
    <w:p>
      <w:pPr>
        <w:autoSpaceDE w:val="0"/>
        <w:autoSpaceDN w:val="0"/>
        <w:spacing w:line="500" w:lineRule="exact"/>
        <w:textAlignment w:val="bottom"/>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14.3 </w:t>
      </w:r>
      <w:r>
        <w:rPr>
          <w:rFonts w:hint="eastAsia" w:ascii="宋体" w:hAnsi="宋体" w:cs="宋体"/>
          <w:color w:val="000000" w:themeColor="text1"/>
          <w:sz w:val="24"/>
          <w:szCs w:val="28"/>
          <w:highlight w:val="none"/>
          <w14:textFill>
            <w14:solidFill>
              <w14:schemeClr w14:val="tx1"/>
            </w14:solidFill>
          </w14:textFill>
        </w:rPr>
        <w:t>投标文件须由投标人盖章并由法定代表人签名或盖章及授权委托人签名，投标人应写全称。</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投标文件不得涂改和增删，如有错漏必须修改，修改处须有投标人加盖公章。</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 由于字迹模糊或表达不清引起的后果由投标人负责。</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14.6 投标文件中的开标一览表为唱标的内容，投标人须按招标文件给定的开标一览表格式填写，统一规范，不得自行增减内容。</w:t>
      </w:r>
    </w:p>
    <w:p>
      <w:pPr>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15、投标报价：</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投标人应按招标文件中《开标一览表》填写数量单价、总价、其他费用、合价、合计等。</w:t>
      </w:r>
    </w:p>
    <w:p>
      <w:pPr>
        <w:autoSpaceDE w:val="0"/>
        <w:autoSpaceDN w:val="0"/>
        <w:spacing w:line="500" w:lineRule="exact"/>
        <w:textAlignment w:val="bottom"/>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每种货物只允许有一个报价，有选择的报价将不予接受。    </w:t>
      </w:r>
    </w:p>
    <w:p>
      <w:pPr>
        <w:pStyle w:val="19"/>
        <w:snapToGrid w:val="0"/>
        <w:spacing w:line="500" w:lineRule="exact"/>
        <w:rPr>
          <w:rFonts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16、投标保证金</w:t>
      </w:r>
    </w:p>
    <w:p>
      <w:pPr>
        <w:snapToGrid w:val="0"/>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16.1具体见“投标须知前附表”。</w:t>
      </w:r>
    </w:p>
    <w:p>
      <w:pPr>
        <w:pStyle w:val="19"/>
        <w:snapToGrid w:val="0"/>
        <w:spacing w:line="500" w:lineRule="exact"/>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16.2投</w:t>
      </w:r>
      <w:r>
        <w:rPr>
          <w:rFonts w:hint="eastAsia" w:ascii="宋体" w:hAnsi="宋体" w:cs="宋体"/>
          <w:color w:val="000000" w:themeColor="text1"/>
          <w:highlight w:val="none"/>
          <w14:textFill>
            <w14:solidFill>
              <w14:schemeClr w14:val="tx1"/>
            </w14:solidFill>
          </w14:textFill>
        </w:rPr>
        <w:t>标人如有下列情况之一者，将不退还投标保证金：</w:t>
      </w:r>
    </w:p>
    <w:p>
      <w:pPr>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（1）在投标有效期内撤回投标文件的；</w:t>
      </w:r>
    </w:p>
    <w:p>
      <w:pPr>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（2）中标人未按规定提交履约保证金的或无正当理由不与招标人签订合同的；</w:t>
      </w:r>
    </w:p>
    <w:p>
      <w:pPr>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（3）投标人在投标过程中弄虚作假或提供虚假材料等违法违规行为的；</w:t>
      </w:r>
    </w:p>
    <w:p>
      <w:pPr>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（4）法律、法规规定的其他情形。</w:t>
      </w:r>
    </w:p>
    <w:p>
      <w:pPr>
        <w:autoSpaceDE w:val="0"/>
        <w:autoSpaceDN w:val="0"/>
        <w:spacing w:line="50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未提交投标保证金的投标文件视为无效文件。</w:t>
      </w:r>
    </w:p>
    <w:p>
      <w:pPr>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17、投标文件的修改与撤回</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17.1</w:t>
      </w:r>
      <w:r>
        <w:rPr>
          <w:rFonts w:hint="eastAsia" w:ascii="宋体" w:hAnsi="宋体" w:cs="宋体"/>
          <w:color w:val="000000" w:themeColor="text1"/>
          <w:sz w:val="24"/>
          <w:highlight w:val="none"/>
          <w14:textFill>
            <w14:solidFill>
              <w14:schemeClr w14:val="tx1"/>
            </w14:solidFill>
          </w14:textFill>
        </w:rPr>
        <w:t>投标人在投标截止时间前，可以对所递交的投标文件进行补充、修改或者撤回，并书面通知招标人或者招标代理机构。补充、修改的内容应当按照招标文件要求签署、盖章、密封后，作为投标文件的组成部分</w:t>
      </w:r>
      <w:r>
        <w:rPr>
          <w:rFonts w:hint="eastAsia" w:ascii="宋体" w:hAnsi="宋体" w:cs="宋体"/>
          <w:color w:val="000000" w:themeColor="text1"/>
          <w:sz w:val="24"/>
          <w:szCs w:val="28"/>
          <w:highlight w:val="none"/>
          <w14:textFill>
            <w14:solidFill>
              <w14:schemeClr w14:val="tx1"/>
            </w14:solidFill>
          </w14:textFill>
        </w:rPr>
        <w:t>。  </w:t>
      </w:r>
    </w:p>
    <w:p>
      <w:pPr>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17.2</w:t>
      </w:r>
      <w:r>
        <w:rPr>
          <w:rFonts w:hint="eastAsia" w:ascii="宋体" w:hAnsi="宋体" w:cs="宋体"/>
          <w:color w:val="000000" w:themeColor="text1"/>
          <w:sz w:val="24"/>
          <w:szCs w:val="18"/>
          <w:highlight w:val="none"/>
          <w14:textFill>
            <w14:solidFill>
              <w14:schemeClr w14:val="tx1"/>
            </w14:solidFill>
          </w14:textFill>
        </w:rPr>
        <w:t>更改的投标文件应同样按照投标文件递交规定的要求进行编制、密封、标记、递交</w:t>
      </w:r>
      <w:r>
        <w:rPr>
          <w:rFonts w:hint="eastAsia" w:ascii="宋体" w:hAnsi="宋体" w:cs="宋体"/>
          <w:color w:val="000000" w:themeColor="text1"/>
          <w:sz w:val="24"/>
          <w:szCs w:val="28"/>
          <w:highlight w:val="none"/>
          <w14:textFill>
            <w14:solidFill>
              <w14:schemeClr w14:val="tx1"/>
            </w14:solidFill>
          </w14:textFill>
        </w:rPr>
        <w:t>，另外还应在外层封皮上标明“修改”或“撤回”字样。</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17.3</w:t>
      </w:r>
      <w:r>
        <w:rPr>
          <w:rFonts w:hint="eastAsia" w:ascii="宋体" w:hAnsi="宋体" w:cs="宋体"/>
          <w:color w:val="000000" w:themeColor="text1"/>
          <w:sz w:val="24"/>
          <w:highlight w:val="none"/>
          <w14:textFill>
            <w14:solidFill>
              <w14:schemeClr w14:val="tx1"/>
            </w14:solidFill>
          </w14:textFill>
        </w:rPr>
        <w:t>在投标截止时间与投标文件有效期终止日之间的这段期间内，投标人不能撤回投标文件，否则其投标保证金将不予以退还。</w:t>
      </w:r>
    </w:p>
    <w:p>
      <w:pPr>
        <w:spacing w:line="500" w:lineRule="exac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18、投标文件的效力</w:t>
      </w:r>
    </w:p>
    <w:p>
      <w:pPr>
        <w:tabs>
          <w:tab w:val="left" w:pos="720"/>
        </w:tabs>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18.1投标文件的有效期</w:t>
      </w:r>
    </w:p>
    <w:p>
      <w:pPr>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（1）投标文件的有效期</w:t>
      </w:r>
      <w:r>
        <w:rPr>
          <w:rFonts w:hint="eastAsia" w:ascii="宋体" w:hAnsi="宋体" w:cs="宋体"/>
          <w:color w:val="000000" w:themeColor="text1"/>
          <w:sz w:val="24"/>
          <w:highlight w:val="none"/>
          <w14:textFill>
            <w14:solidFill>
              <w14:schemeClr w14:val="tx1"/>
            </w14:solidFill>
          </w14:textFill>
        </w:rPr>
        <w:t>具体见“投标须知前附表”</w:t>
      </w:r>
      <w:r>
        <w:rPr>
          <w:rFonts w:hint="eastAsia" w:ascii="宋体" w:hAnsi="宋体" w:cs="宋体"/>
          <w:color w:val="000000" w:themeColor="text1"/>
          <w:sz w:val="24"/>
          <w:szCs w:val="28"/>
          <w:highlight w:val="none"/>
          <w14:textFill>
            <w14:solidFill>
              <w14:schemeClr w14:val="tx1"/>
            </w14:solidFill>
          </w14:textFill>
        </w:rPr>
        <w:t>；</w:t>
      </w:r>
    </w:p>
    <w:p>
      <w:pPr>
        <w:snapToGrid w:val="0"/>
        <w:spacing w:line="500" w:lineRule="exac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（2）中标人的投标有效期至完成本招标文件规定的招标范围内全部工作内容并通过竣工验收、保修期限满后终止；</w:t>
      </w:r>
    </w:p>
    <w:p>
      <w:pPr>
        <w:snapToGrid w:val="0"/>
        <w:spacing w:line="500" w:lineRule="exact"/>
        <w:rPr>
          <w:rFonts w:ascii="宋体" w:hAnsi="宋体" w:cs="宋体"/>
          <w:color w:val="000000" w:themeColor="text1"/>
          <w:sz w:val="24"/>
          <w:szCs w:val="1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（3）</w:t>
      </w:r>
      <w:r>
        <w:rPr>
          <w:rFonts w:hint="eastAsia" w:ascii="宋体" w:hAnsi="宋体" w:cs="宋体"/>
          <w:color w:val="000000" w:themeColor="text1"/>
          <w:sz w:val="24"/>
          <w:szCs w:val="18"/>
          <w:highlight w:val="none"/>
          <w14:textFill>
            <w14:solidFill>
              <w14:schemeClr w14:val="tx1"/>
            </w14:solidFill>
          </w14:textFill>
        </w:rPr>
        <w:t>在原定投标文件有效期期满之前，如果出现特殊情况，招标人可以向投标人提出延长其投标文件有效期的要求，这种要求和答复应以书面形式进行。投标人可以拒绝这种要求而不失去其投标保证金。同意延期的投标人，不需要也不允许修改其投标文件，但必须相应地延长投标保证金的有效期，在延长期内，本招标文件中关于投标保证金的退还与没收的规定仍然适用。</w:t>
      </w:r>
    </w:p>
    <w:p>
      <w:pPr>
        <w:pStyle w:val="19"/>
        <w:snapToGrid w:val="0"/>
        <w:spacing w:line="500" w:lineRule="exact"/>
        <w:rPr>
          <w:rFonts w:ascii="宋体" w:hAnsi="宋体" w:cs="宋体"/>
          <w:color w:val="000000" w:themeColor="text1"/>
          <w:szCs w:val="28"/>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18.2有下列情况之一者，投标文件视为无效：</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（1）投标文件未按招标文件要求密封、送达的；</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（2）投标文件未按规定的要求编制，字迹模糊，辨认不清的；</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（3）法定代表人或授权委托人未签字或未加盖单位公章的；</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（4）投标人递交两份或两份以上内容不同的投标文件，未声明哪一份有效的；</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szCs w:val="21"/>
          <w:highlight w:val="none"/>
          <w14:textFill>
            <w14:solidFill>
              <w14:schemeClr w14:val="tx1"/>
            </w14:solidFill>
          </w14:textFill>
        </w:rPr>
        <w:t>投标人的投标资格不满足国家有关规定和招标文件要求的</w:t>
      </w:r>
      <w:r>
        <w:rPr>
          <w:rFonts w:hint="eastAsia" w:ascii="宋体" w:hAnsi="宋体" w:cs="宋体"/>
          <w:color w:val="000000" w:themeColor="text1"/>
          <w:sz w:val="24"/>
          <w:highlight w:val="none"/>
          <w14:textFill>
            <w14:solidFill>
              <w14:schemeClr w14:val="tx1"/>
            </w14:solidFill>
          </w14:textFill>
        </w:rPr>
        <w:t>；</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pacing w:val="-4"/>
          <w:sz w:val="24"/>
          <w:highlight w:val="none"/>
          <w14:textFill>
            <w14:solidFill>
              <w14:schemeClr w14:val="tx1"/>
            </w14:solidFill>
          </w14:textFill>
        </w:rPr>
        <w:t>没有按招标文件的要求提交投标保证金的</w:t>
      </w:r>
      <w:r>
        <w:rPr>
          <w:rFonts w:hint="eastAsia" w:ascii="宋体" w:hAnsi="宋体" w:cs="宋体"/>
          <w:color w:val="000000" w:themeColor="text1"/>
          <w:sz w:val="24"/>
          <w:szCs w:val="21"/>
          <w:highlight w:val="none"/>
          <w14:textFill>
            <w14:solidFill>
              <w14:schemeClr w14:val="tx1"/>
            </w14:solidFill>
          </w14:textFill>
        </w:rPr>
        <w:t>；</w:t>
      </w:r>
    </w:p>
    <w:p>
      <w:pPr>
        <w:spacing w:line="500" w:lineRule="exac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（7）投标报价超出上限控制价的</w:t>
      </w:r>
      <w:r>
        <w:rPr>
          <w:rFonts w:hint="eastAsia" w:ascii="宋体" w:hAnsi="宋体" w:cs="宋体"/>
          <w:color w:val="000000" w:themeColor="text1"/>
          <w:spacing w:val="-4"/>
          <w:sz w:val="24"/>
          <w:highlight w:val="none"/>
          <w14:textFill>
            <w14:solidFill>
              <w14:schemeClr w14:val="tx1"/>
            </w14:solidFill>
          </w14:textFill>
        </w:rPr>
        <w:t>；</w:t>
      </w:r>
    </w:p>
    <w:p>
      <w:pPr>
        <w:spacing w:line="500" w:lineRule="exact"/>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（8）投标有效期、供货期及补播工期、质保期等不能满足招标文件要求的；</w:t>
      </w:r>
    </w:p>
    <w:p>
      <w:pPr>
        <w:spacing w:line="500" w:lineRule="exact"/>
        <w:rPr>
          <w:rFonts w:ascii="宋体" w:hAnsi="宋体" w:cs="宋体"/>
          <w:color w:val="000000" w:themeColor="text1"/>
          <w:sz w:val="24"/>
          <w:szCs w:val="18"/>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（9）</w:t>
      </w:r>
      <w:r>
        <w:rPr>
          <w:rFonts w:hint="eastAsia" w:ascii="宋体" w:hAnsi="宋体" w:cs="宋体"/>
          <w:color w:val="000000" w:themeColor="text1"/>
          <w:spacing w:val="-4"/>
          <w:sz w:val="24"/>
          <w:highlight w:val="none"/>
          <w14:textFill>
            <w14:solidFill>
              <w14:schemeClr w14:val="tx1"/>
            </w14:solidFill>
          </w14:textFill>
        </w:rPr>
        <w:t>投标文件含有招标人不能接受的附加条件的；</w:t>
      </w:r>
    </w:p>
    <w:p>
      <w:pPr>
        <w:spacing w:line="500" w:lineRule="exact"/>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（10）投标人未实质性响应或擅自改变招标文件要求的</w:t>
      </w:r>
      <w:r>
        <w:rPr>
          <w:rFonts w:hint="eastAsia" w:ascii="宋体" w:hAnsi="宋体" w:cs="宋体"/>
          <w:color w:val="000000" w:themeColor="text1"/>
          <w:sz w:val="24"/>
          <w:szCs w:val="21"/>
          <w:highlight w:val="none"/>
          <w14:textFill>
            <w14:solidFill>
              <w14:schemeClr w14:val="tx1"/>
            </w14:solidFill>
          </w14:textFill>
        </w:rPr>
        <w:t>；</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18"/>
          <w:highlight w:val="none"/>
          <w14:textFill>
            <w14:solidFill>
              <w14:schemeClr w14:val="tx1"/>
            </w14:solidFill>
          </w14:textFill>
        </w:rPr>
        <w:t>（11）</w:t>
      </w:r>
      <w:r>
        <w:rPr>
          <w:rFonts w:hint="eastAsia" w:hAnsi="宋体" w:cs="宋体"/>
          <w:color w:val="000000" w:themeColor="text1"/>
          <w:sz w:val="24"/>
          <w:highlight w:val="none"/>
          <w14:textFill>
            <w14:solidFill>
              <w14:schemeClr w14:val="tx1"/>
            </w14:solidFill>
          </w14:textFill>
        </w:rPr>
        <w:t>国家和自治区另有规定属无效投标文件的。</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18.3有下列情形之一的，视为投标人串通投标，其投标无效：</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（1）不同投标人的投标文件由同一单位或者个人编制；</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（2）不同投标人委托同一单位或者个人办理投标事宜；</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（3）不同投标人的投标文件载明的项目管理成员或者联系人员为同一人；</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（4）不同投标人的投标文件异常一致或者投标报价呈规律性差异；</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（5）不同投标人的投标文件相互混装；</w:t>
      </w:r>
    </w:p>
    <w:p>
      <w:pPr>
        <w:pStyle w:val="16"/>
        <w:spacing w:line="500" w:lineRule="exac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（6）不同投标人的投标保证金从同一单位或者个人的账户转出。</w:t>
      </w:r>
    </w:p>
    <w:p>
      <w:pPr>
        <w:pStyle w:val="16"/>
        <w:spacing w:line="500" w:lineRule="exact"/>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19、投标文件的递交</w:t>
      </w:r>
    </w:p>
    <w:p>
      <w:pPr>
        <w:spacing w:line="50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投标人应当在招标文件要求提交投标文件的截止时间前，将投标文件密封送达指定地点。招标人或者招标代理机构收到投标文件后，应当如实记载投标文件的送达时间和密封情况，签收保存。任何单位和个人不得在开标前开启投标文件。</w:t>
      </w:r>
    </w:p>
    <w:p>
      <w:pPr>
        <w:tabs>
          <w:tab w:val="left" w:pos="993"/>
          <w:tab w:val="left" w:pos="1134"/>
          <w:tab w:val="left" w:pos="1418"/>
        </w:tabs>
        <w:autoSpaceDE w:val="0"/>
        <w:autoSpaceDN w:val="0"/>
        <w:adjustRightInd w:val="0"/>
        <w:snapToGrid w:val="0"/>
        <w:spacing w:line="500" w:lineRule="exact"/>
        <w:jc w:val="lef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19.2投标文件的封装与标志</w:t>
      </w:r>
    </w:p>
    <w:p>
      <w:pPr>
        <w:tabs>
          <w:tab w:val="left" w:pos="993"/>
          <w:tab w:val="left" w:pos="1134"/>
          <w:tab w:val="left" w:pos="1418"/>
        </w:tabs>
        <w:autoSpaceDE w:val="0"/>
        <w:autoSpaceDN w:val="0"/>
        <w:adjustRightInd w:val="0"/>
        <w:snapToGrid w:val="0"/>
        <w:spacing w:line="500" w:lineRule="exact"/>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(1)标书封面应注明项目名称 、单位名称、地址、邮政编码、联系人及联系电话，同时加盖投标单位公章，并由法定代表人签字或盖章及授权委托人签字,并标明“正本”、“副本”字样。</w:t>
      </w:r>
    </w:p>
    <w:p>
      <w:pPr>
        <w:spacing w:line="500" w:lineRule="exac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(2)投标文件应将正本、副本密封在一个封袋中，并在封套正面注明：“投标文件”投标字样。所有封袋上应写明项目名称 、单位名称、地址、邮政编码、联系人及联系电话，加盖投标单位公章，并由法定代表人签字或盖章/授权委托人签字。封袋上加贴封条，并在封套的封口处加盖投标人单位章。投标文件的封袋应确保密封完整。</w:t>
      </w:r>
    </w:p>
    <w:p>
      <w:pPr>
        <w:pStyle w:val="32"/>
        <w:spacing w:before="0" w:after="0" w:line="500" w:lineRule="exact"/>
        <w:jc w:val="left"/>
        <w:rPr>
          <w:rFonts w:ascii="宋体" w:hAnsi="宋体" w:cs="宋体"/>
          <w:b w:val="0"/>
          <w:bCs w:val="0"/>
          <w:color w:val="000000" w:themeColor="text1"/>
          <w:kern w:val="0"/>
          <w:sz w:val="24"/>
          <w:highlight w:val="none"/>
          <w14:textFill>
            <w14:solidFill>
              <w14:schemeClr w14:val="tx1"/>
            </w14:solidFill>
          </w14:textFill>
        </w:rPr>
      </w:pPr>
      <w:bookmarkStart w:id="123" w:name="_Toc107479269"/>
      <w:bookmarkStart w:id="124" w:name="_Toc110496606"/>
      <w:bookmarkStart w:id="125" w:name="_Toc118809476"/>
      <w:bookmarkStart w:id="126" w:name="_Toc225585657"/>
      <w:bookmarkStart w:id="127" w:name="_Toc224984523"/>
      <w:bookmarkStart w:id="128" w:name="_Toc17582"/>
      <w:bookmarkStart w:id="129" w:name="_Toc222129171"/>
      <w:r>
        <w:rPr>
          <w:rFonts w:hint="eastAsia" w:ascii="宋体" w:hAnsi="宋体" w:cs="宋体"/>
          <w:color w:val="000000" w:themeColor="text1"/>
          <w:kern w:val="0"/>
          <w:sz w:val="24"/>
          <w:highlight w:val="none"/>
          <w14:textFill>
            <w14:solidFill>
              <w14:schemeClr w14:val="tx1"/>
            </w14:solidFill>
          </w14:textFill>
        </w:rPr>
        <w:t>19.3</w:t>
      </w:r>
      <w:r>
        <w:rPr>
          <w:rFonts w:hint="eastAsia" w:ascii="宋体" w:hAnsi="宋体" w:cs="宋体"/>
          <w:b w:val="0"/>
          <w:bCs w:val="0"/>
          <w:color w:val="000000" w:themeColor="text1"/>
          <w:kern w:val="0"/>
          <w:sz w:val="24"/>
          <w:highlight w:val="none"/>
          <w14:textFill>
            <w14:solidFill>
              <w14:schemeClr w14:val="tx1"/>
            </w14:solidFill>
          </w14:textFill>
        </w:rPr>
        <w:t>逾期送达或者未按照招标文件要求密封的投标文件，招标代理机构应当拒收。</w:t>
      </w:r>
      <w:bookmarkEnd w:id="123"/>
      <w:bookmarkEnd w:id="124"/>
      <w:bookmarkEnd w:id="125"/>
    </w:p>
    <w:p>
      <w:pPr>
        <w:pStyle w:val="32"/>
        <w:spacing w:before="0" w:after="0" w:line="500" w:lineRule="exact"/>
        <w:rPr>
          <w:rFonts w:ascii="宋体" w:hAnsi="宋体" w:cs="宋体"/>
          <w:color w:val="000000" w:themeColor="text1"/>
          <w:highlight w:val="none"/>
          <w14:textFill>
            <w14:solidFill>
              <w14:schemeClr w14:val="tx1"/>
            </w14:solidFill>
          </w14:textFill>
        </w:rPr>
      </w:pPr>
    </w:p>
    <w:p>
      <w:pPr>
        <w:pStyle w:val="32"/>
        <w:spacing w:before="0" w:after="0" w:line="500" w:lineRule="exact"/>
        <w:rPr>
          <w:rFonts w:ascii="宋体" w:hAnsi="宋体" w:cs="宋体"/>
          <w:color w:val="000000" w:themeColor="text1"/>
          <w:highlight w:val="none"/>
          <w14:textFill>
            <w14:solidFill>
              <w14:schemeClr w14:val="tx1"/>
            </w14:solidFill>
          </w14:textFill>
        </w:rPr>
      </w:pPr>
      <w:bookmarkStart w:id="130" w:name="_Toc107479270"/>
      <w:bookmarkStart w:id="131" w:name="_Toc118809477"/>
      <w:r>
        <w:rPr>
          <w:rFonts w:hint="eastAsia" w:ascii="宋体" w:hAnsi="宋体" w:cs="宋体"/>
          <w:color w:val="000000" w:themeColor="text1"/>
          <w:highlight w:val="none"/>
          <w14:textFill>
            <w14:solidFill>
              <w14:schemeClr w14:val="tx1"/>
            </w14:solidFill>
          </w14:textFill>
        </w:rPr>
        <w:t>（四）开标</w:t>
      </w:r>
      <w:bookmarkEnd w:id="126"/>
      <w:bookmarkEnd w:id="127"/>
      <w:bookmarkEnd w:id="128"/>
      <w:r>
        <w:rPr>
          <w:rFonts w:hint="eastAsia" w:ascii="宋体" w:hAnsi="宋体" w:cs="宋体"/>
          <w:color w:val="000000" w:themeColor="text1"/>
          <w:highlight w:val="none"/>
          <w14:textFill>
            <w14:solidFill>
              <w14:schemeClr w14:val="tx1"/>
            </w14:solidFill>
          </w14:textFill>
        </w:rPr>
        <w:t>、评标</w:t>
      </w:r>
      <w:bookmarkEnd w:id="130"/>
      <w:bookmarkEnd w:id="131"/>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20、开标</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20.1 招标代理机构按</w:t>
      </w:r>
      <w:r>
        <w:rPr>
          <w:rFonts w:hint="eastAsia" w:ascii="宋体" w:hAnsi="宋体" w:cs="宋体"/>
          <w:color w:val="000000" w:themeColor="text1"/>
          <w:sz w:val="24"/>
          <w:highlight w:val="none"/>
          <w14:textFill>
            <w14:solidFill>
              <w14:schemeClr w14:val="tx1"/>
            </w14:solidFill>
          </w14:textFill>
        </w:rPr>
        <w:t>投标须知前附表</w:t>
      </w:r>
      <w:r>
        <w:rPr>
          <w:rFonts w:hint="eastAsia" w:ascii="宋体" w:hAnsi="宋体"/>
          <w:color w:val="000000" w:themeColor="text1"/>
          <w:sz w:val="24"/>
          <w:highlight w:val="none"/>
          <w14:textFill>
            <w14:solidFill>
              <w14:schemeClr w14:val="tx1"/>
            </w14:solidFill>
          </w14:textFill>
        </w:rPr>
        <w:t>中规定的日期、时间和地点组织公开开标。开标时邀请所有投标人授权代表参加。参加开标的代表应签名报到以证明其出席。</w:t>
      </w:r>
    </w:p>
    <w:p>
      <w:pPr>
        <w:autoSpaceDE w:val="0"/>
        <w:autoSpaceDN w:val="0"/>
        <w:adjustRightInd w:val="0"/>
        <w:snapToGrid w:val="0"/>
        <w:spacing w:line="500" w:lineRule="exact"/>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20.2 有效证件 </w:t>
      </w:r>
    </w:p>
    <w:p>
      <w:pPr>
        <w:autoSpaceDE w:val="0"/>
        <w:autoSpaceDN w:val="0"/>
        <w:adjustRightInd w:val="0"/>
        <w:snapToGrid w:val="0"/>
        <w:spacing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开标前，对投标人提供以下证件进行符合性审查</w:t>
      </w:r>
      <w:r>
        <w:rPr>
          <w:rFonts w:hint="eastAsia" w:ascii="宋体" w:hAnsi="宋体"/>
          <w:bCs/>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（1）法定代表人身份证原件或法定代表人授权委托书和委托代理人的身份证原件（原件）；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（2）企业营业执照（要求满足投标人资格条件）、企业税务登记证、企业组织机构代码证（如已三证合一的投标人仅需提供营业执照）（原件）</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供应商参加本次采购活动前三年内在“信用中国”（www.creditchina.gov.cn）和中国政府采购网（www.ccgp.gov.cn）网站上未被列入失信被执行人、重大税收违法案件当事人名单以及政府采购严重违法失信行为记录名单的投标人，网页截屏有以上行为记录的拒绝参与政府采购活动（提供查询网页打印件）</w:t>
      </w:r>
    </w:p>
    <w:p>
      <w:pPr>
        <w:autoSpaceDE w:val="0"/>
        <w:autoSpaceDN w:val="0"/>
        <w:adjustRightInd w:val="0"/>
        <w:snapToGrid w:val="0"/>
        <w:spacing w:line="500" w:lineRule="exact"/>
        <w:ind w:firstLine="482"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以上证件缺一不可，并在有效期内，不接受公证件，否则按无效标处理，经符合性审查证件齐全的投标人为合格的投标人。</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 开标时，</w:t>
      </w:r>
      <w:r>
        <w:rPr>
          <w:rFonts w:hint="eastAsia" w:ascii="宋体" w:hAnsi="宋体" w:cs="宋体"/>
          <w:color w:val="000000" w:themeColor="text1"/>
          <w:sz w:val="24"/>
          <w:highlight w:val="none"/>
          <w14:textFill>
            <w14:solidFill>
              <w14:schemeClr w14:val="tx1"/>
            </w14:solidFill>
          </w14:textFill>
        </w:rPr>
        <w:t>应当由投标人或者其推选的代表检查投标文件的密封情况，经确认无误后。由招标代理机构工作人员当众拆封，</w:t>
      </w:r>
      <w:r>
        <w:rPr>
          <w:rFonts w:hint="eastAsia" w:ascii="宋体" w:hAnsi="宋体"/>
          <w:color w:val="000000" w:themeColor="text1"/>
          <w:sz w:val="24"/>
          <w:highlight w:val="none"/>
          <w14:textFill>
            <w14:solidFill>
              <w14:schemeClr w14:val="tx1"/>
            </w14:solidFill>
          </w14:textFill>
        </w:rPr>
        <w:t>按投标文件递交时间的正顺序唱标，当众宣读投标人名称、招标编号（标段）、投标报价、工期及质量要求，以及招标代理机构认为合适的其他内容。除了原封退回、迟到的投标之外，开标时将不得拒绝任何准时到达的投标。</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20.4 在开标时没有读出的有关声明，在评标时将不予考虑。</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20.5 招标代理机构做好开标记录，投标人代表对开标记录进行校核并签字确认，同时由记录人和监督人签字确认。</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20.6评标原则：评标活动遵循公平、公正、科学和择优的原则。</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20.7 对招标人的纪律要求</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招标人不得泄露招标投标活动中应当保密的情况和资料，不得与投标人串通损害国家利益、社会公共利益或者他人合法权益。</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20.8对投标人的纪律要求</w:t>
      </w:r>
    </w:p>
    <w:p>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投标人不得互相串通投标或者与招标人串通投标，不得向招标人或者评标委员会成员行贿谋取中标，不得以他人名义投标或者以其他方式弄虚作假骗取中标；投标人不得以任何方式干扰、影响评标工作。</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20.9对与评标活动有关的工作人员的纪律要求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21.2对评标委员会成员要求评标纪律</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21.2.1评委会应当依照有关法律法规的规定，按照招标文件确定的评标标准和办法客观、公正的对投标文件提出评审意见。招标文件没有规定的评标标准和方法不得作为评标依据。</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21.2.2评标委员会成员不得私下接触投标人，不得收受投标人给予的财务或者其他好处，不得向招标人征询确定中标人意向。</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21.2.3不得接受任何单位或个人明示或暗示提出的倾向或排斥特定投标人的要求。</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21.2.4不得有其他不客观，不公正履行职务的行为。</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21.3评标委员会成员有下列情形之一的，应当回避：</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（1）招标人或投标人的主要负责人的近亲属；</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（2）项目主管部门或者行政监督部门的人员；</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（3）与投标人有经济利益关系，可能影响对投标公正评审的；</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（4）曾因在招标、评标以及其他与招标投标有关活动中从事违法行为而受过行政处罚或刑事处罚的。</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21.4</w:t>
      </w:r>
      <w:r>
        <w:rPr>
          <w:rFonts w:hint="eastAsia" w:ascii="宋体" w:hAnsi="宋体" w:cs="宋体"/>
          <w:color w:val="000000" w:themeColor="text1"/>
          <w:sz w:val="24"/>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22、评标过程</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22.1 评标的依据为招标文件和投标文件。</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22.2 开标后评委会将组织审查投标文件是否完整，是否有计算错误，要求的保证金是否提供，投标文件是否恰当地签署。</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22.3在对投标文件进行详细评审之前，评委会将依据投标人提供的投标文件审查投标人的技术服务水平、生产、售后服务、实施能力等。如果确定投标人无资格履行合同，其投标将被拒绝。</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22.4评标委员会确定每一投标人是否对招标文件的要求作出了实质性的响应，而没有重大偏离。实质性响应的投标是指投标符合招标文件的所有条款、条件和规定且没有重大偏离或保留。重大偏离或保留是指影响到招标文件规定的供货范围、质量和性能，或限制了买方的权利和投标人的义务的规定，而纠正这些偏离将影响到其他提交实质性响应投标的投标商的公平竞争地位。   </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22.5</w:t>
      </w:r>
      <w:r>
        <w:rPr>
          <w:rFonts w:hint="eastAsia" w:ascii="宋体" w:hAnsi="宋体" w:cs="宋体"/>
          <w:color w:val="000000" w:themeColor="text1"/>
          <w:sz w:val="24"/>
          <w:highlight w:val="none"/>
          <w14:textFill>
            <w14:solidFill>
              <w14:schemeClr w14:val="tx1"/>
            </w14:solidFill>
          </w14:textFill>
        </w:rPr>
        <w:t>投标文件报价出现前后不一致的，除招标文件另有规定外，按照下列规定修正：</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（一）投标文件中开标一览表（报价表）内容与投标文件中相应内容不一致的，以开标一览表（报价表）为准；</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（二）大写金额和小写金额不一致的，以大写金额为准；</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（三）单价金额小数点或者百分比有明显错位的，以开标一览表的总价为准，并修改单价；</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（四）总价金额与按单价汇总金额不一致的，以单价金额计算结果为准。</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同时出现两种以上不一致的，按照前款规定的顺序修正。修正后的报价按照23条的规定经投标人确认后产生约束力，投标人不确认的，其投标无效。</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23.投标文件的澄清</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23.1对于投标文件中含义不明确、同类问题表述不一致或者有明显文字和计算错误的内容，评标委员会应当以书面形式要求投标人作出必要的澄清、说明或者补正。</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23.2投标人的澄清、说明或者补正应当采用书面形式，并加盖公章，或者由法定代表人或其授权的代表签字。投标人的澄清、说明或者补正不得超出投标文件的范围或者改变投标文件的实质性内容。</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23.3投标人的澄清、说明或者补正作为投标文件的组成部分。</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24、对投标文件的评估和比较</w:t>
      </w:r>
    </w:p>
    <w:p>
      <w:pPr>
        <w:spacing w:line="500" w:lineRule="exac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24.1本项目采用综合评分法。</w:t>
      </w:r>
      <w:r>
        <w:rPr>
          <w:rFonts w:hint="eastAsia" w:ascii="宋体" w:hAnsi="宋体"/>
          <w:bCs/>
          <w:color w:val="000000" w:themeColor="text1"/>
          <w:sz w:val="24"/>
          <w:highlight w:val="none"/>
          <w14:textFill>
            <w14:solidFill>
              <w14:schemeClr w14:val="tx1"/>
            </w14:solidFill>
          </w14:textFill>
        </w:rPr>
        <w:t>对通过初步评审的投标人的投标文件分为评估和比较两步进行，评标委员会按照招标文件要求对投标文件中的投标商资格、重要技术指标以及技术和商务要求的其它重要内容进行审核，审核合格后即视为实质性响应的投标文件，进行第二个步骤：对实质性响应的投标文件进行评估和比较，进行打分评比，打分方法：总分为100分，其中投标报价部分30分，商务、技术部分70分。投标人的投标报价部分得分及商务、技术部分得分相加即为该投标商的总得分。评</w:t>
      </w:r>
      <w:r>
        <w:rPr>
          <w:rFonts w:hint="eastAsia" w:ascii="宋体" w:hAnsi="宋体"/>
          <w:color w:val="000000" w:themeColor="text1"/>
          <w:sz w:val="24"/>
          <w:highlight w:val="none"/>
          <w14:textFill>
            <w14:solidFill>
              <w14:schemeClr w14:val="tx1"/>
            </w14:solidFill>
          </w14:textFill>
        </w:rPr>
        <w:t>标结果按评审后得分由高到低顺序排列。得分相同的，按投标报价由低到高顺序排列。得分且投标报价相同的并列。</w:t>
      </w:r>
      <w:r>
        <w:rPr>
          <w:rFonts w:hint="eastAsia" w:ascii="宋体" w:hAnsi="宋体" w:cs="宋体"/>
          <w:color w:val="000000" w:themeColor="text1"/>
          <w:sz w:val="24"/>
          <w:highlight w:val="none"/>
          <w14:textFill>
            <w14:solidFill>
              <w14:schemeClr w14:val="tx1"/>
            </w14:solidFill>
          </w14:textFill>
        </w:rPr>
        <w:t>投标文件满足招标文件全部实质性要求，且评审得分最高的投标人为排名第一的中标候选人。</w:t>
      </w:r>
    </w:p>
    <w:p>
      <w:pPr>
        <w:pStyle w:val="11"/>
        <w:spacing w:line="360" w:lineRule="auto"/>
        <w:rPr>
          <w:rFonts w:ascii="宋体" w:hAnsi="宋体" w:eastAsia="宋体"/>
          <w:b w:val="0"/>
          <w:color w:val="000000" w:themeColor="text1"/>
          <w:spacing w:val="0"/>
          <w:kern w:val="2"/>
          <w:sz w:val="24"/>
          <w:highlight w:val="none"/>
          <w14:textFill>
            <w14:solidFill>
              <w14:schemeClr w14:val="tx1"/>
            </w14:solidFill>
          </w14:textFill>
        </w:rPr>
      </w:pPr>
      <w:r>
        <w:rPr>
          <w:rFonts w:hint="eastAsia" w:ascii="宋体" w:hAnsi="宋体" w:eastAsia="宋体"/>
          <w:b w:val="0"/>
          <w:color w:val="000000" w:themeColor="text1"/>
          <w:spacing w:val="0"/>
          <w:kern w:val="2"/>
          <w:sz w:val="24"/>
          <w:highlight w:val="none"/>
          <w14:textFill>
            <w14:solidFill>
              <w14:schemeClr w14:val="tx1"/>
            </w14:solidFill>
          </w14:textFill>
        </w:rPr>
        <w:t>24.2 投标人应如实提供资料，并保证真实可靠，不得弄虚作假。如投标人隐瞒事实真相、弄虚作假，一经查实，取消该投标人的投标资格，若中标的，取消其中标资格。</w:t>
      </w:r>
    </w:p>
    <w:p>
      <w:pPr>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24.3评标办法</w:t>
      </w:r>
    </w:p>
    <w:p>
      <w:pPr>
        <w:numPr>
          <w:ilvl w:val="0"/>
          <w:numId w:val="6"/>
        </w:numPr>
        <w:spacing w:line="5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初步评审</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16"/>
        <w:gridCol w:w="7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013"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p>
        </w:tc>
        <w:tc>
          <w:tcPr>
            <w:tcW w:w="8167" w:type="dxa"/>
            <w:gridSpan w:val="2"/>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013" w:type="dxa"/>
            <w:vMerge w:val="restart"/>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初步</w:t>
            </w:r>
          </w:p>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w:t>
            </w:r>
          </w:p>
        </w:tc>
        <w:tc>
          <w:tcPr>
            <w:tcW w:w="416"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投标文件是否加盖投标单位公章，并由法定代表人签字或盖章/授权委托人签字；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013" w:type="dxa"/>
            <w:vMerge w:val="continue"/>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p>
        </w:tc>
        <w:tc>
          <w:tcPr>
            <w:tcW w:w="416"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投标人是否对同一招标项目做出两个以上报价而未明确效力；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1013" w:type="dxa"/>
            <w:vMerge w:val="continue"/>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p>
        </w:tc>
        <w:tc>
          <w:tcPr>
            <w:tcW w:w="416"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投标报价是否超出上限控制价；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013" w:type="dxa"/>
            <w:vMerge w:val="continue"/>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p>
        </w:tc>
        <w:tc>
          <w:tcPr>
            <w:tcW w:w="416"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投标有效期是否符合招标文件要求；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013" w:type="dxa"/>
            <w:vMerge w:val="continue"/>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p>
        </w:tc>
        <w:tc>
          <w:tcPr>
            <w:tcW w:w="416"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服务期是否符合招标文件要求；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013" w:type="dxa"/>
            <w:vMerge w:val="continue"/>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p>
        </w:tc>
        <w:tc>
          <w:tcPr>
            <w:tcW w:w="416" w:type="dxa"/>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7751" w:type="dxa"/>
            <w:noWrap/>
            <w:vAlign w:val="center"/>
          </w:tcPr>
          <w:p>
            <w:pPr>
              <w:widowControl/>
              <w:snapToGrid w:val="0"/>
              <w:spacing w:before="100" w:beforeAutospacing="1" w:after="100" w:afterAutospacing="1" w:line="290" w:lineRule="exact"/>
              <w:jc w:val="left"/>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质量标准</w:t>
            </w:r>
            <w:r>
              <w:rPr>
                <w:rFonts w:hint="eastAsia" w:ascii="宋体" w:hAnsi="宋体" w:cs="宋体"/>
                <w:color w:val="000000" w:themeColor="text1"/>
                <w:kern w:val="0"/>
                <w:sz w:val="24"/>
                <w:highlight w:val="none"/>
                <w14:textFill>
                  <w14:solidFill>
                    <w14:schemeClr w14:val="tx1"/>
                  </w14:solidFill>
                </w14:textFill>
              </w:rPr>
              <w:t>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9180" w:type="dxa"/>
            <w:gridSpan w:val="3"/>
            <w:noWrap/>
            <w:vAlign w:val="center"/>
          </w:tcPr>
          <w:p>
            <w:pPr>
              <w:spacing w:line="29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初步评审合格后方可进入</w:t>
            </w:r>
            <w:r>
              <w:rPr>
                <w:rFonts w:hint="eastAsia" w:ascii="宋体" w:hAnsi="宋体"/>
                <w:b/>
                <w:color w:val="000000" w:themeColor="text1"/>
                <w:sz w:val="24"/>
                <w:highlight w:val="none"/>
                <w14:textFill>
                  <w14:solidFill>
                    <w14:schemeClr w14:val="tx1"/>
                  </w14:solidFill>
                </w14:textFill>
              </w:rPr>
              <w:t>投标报价部分和商务、技术部分</w:t>
            </w:r>
            <w:r>
              <w:rPr>
                <w:rFonts w:hint="eastAsia" w:ascii="宋体" w:hAnsi="宋体" w:cs="宋体"/>
                <w:b/>
                <w:bCs/>
                <w:color w:val="000000" w:themeColor="text1"/>
                <w:sz w:val="24"/>
                <w:highlight w:val="none"/>
                <w14:textFill>
                  <w14:solidFill>
                    <w14:schemeClr w14:val="tx1"/>
                  </w14:solidFill>
                </w14:textFill>
              </w:rPr>
              <w:t>评审阶段</w:t>
            </w:r>
          </w:p>
        </w:tc>
      </w:tr>
    </w:tbl>
    <w:p>
      <w:pPr>
        <w:numPr>
          <w:ilvl w:val="0"/>
          <w:numId w:val="6"/>
        </w:numPr>
        <w:spacing w:line="500" w:lineRule="exac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综合评分</w:t>
      </w:r>
    </w:p>
    <w:tbl>
      <w:tblPr>
        <w:tblStyle w:val="34"/>
        <w:tblW w:w="5593" w:type="pct"/>
        <w:tblInd w:w="0" w:type="dxa"/>
        <w:tblLayout w:type="fixed"/>
        <w:tblCellMar>
          <w:top w:w="0" w:type="dxa"/>
          <w:left w:w="108" w:type="dxa"/>
          <w:bottom w:w="0" w:type="dxa"/>
          <w:right w:w="108" w:type="dxa"/>
        </w:tblCellMar>
      </w:tblPr>
      <w:tblGrid>
        <w:gridCol w:w="754"/>
        <w:gridCol w:w="1245"/>
        <w:gridCol w:w="4893"/>
        <w:gridCol w:w="2061"/>
        <w:gridCol w:w="580"/>
      </w:tblGrid>
      <w:tr>
        <w:tblPrEx>
          <w:tblCellMar>
            <w:top w:w="0" w:type="dxa"/>
            <w:left w:w="108" w:type="dxa"/>
            <w:bottom w:w="0" w:type="dxa"/>
            <w:right w:w="108" w:type="dxa"/>
          </w:tblCellMar>
        </w:tblPrEx>
        <w:trPr>
          <w:trHeight w:val="567" w:hRule="exact"/>
        </w:trPr>
        <w:tc>
          <w:tcPr>
            <w:tcW w:w="79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序号</w:t>
            </w:r>
          </w:p>
        </w:tc>
        <w:tc>
          <w:tcPr>
            <w:tcW w:w="1318" w:type="dxa"/>
            <w:tcBorders>
              <w:top w:val="single" w:color="auto" w:sz="4" w:space="0"/>
              <w:left w:val="nil"/>
              <w:bottom w:val="single" w:color="auto" w:sz="4" w:space="0"/>
              <w:right w:val="single" w:color="auto" w:sz="4" w:space="0"/>
            </w:tcBorders>
            <w:noWrap/>
            <w:vAlign w:val="center"/>
          </w:tcPr>
          <w:p>
            <w:pPr>
              <w:widowControl/>
              <w:snapToGrid w:val="0"/>
              <w:spacing w:line="240" w:lineRule="exact"/>
              <w:jc w:val="center"/>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评审项目</w:t>
            </w:r>
          </w:p>
        </w:tc>
        <w:tc>
          <w:tcPr>
            <w:tcW w:w="5229" w:type="dxa"/>
            <w:tcBorders>
              <w:top w:val="single" w:color="auto" w:sz="4" w:space="0"/>
              <w:left w:val="nil"/>
              <w:bottom w:val="single" w:color="auto" w:sz="4" w:space="0"/>
              <w:right w:val="single" w:color="auto" w:sz="4" w:space="0"/>
            </w:tcBorders>
            <w:noWrap/>
            <w:vAlign w:val="center"/>
          </w:tcPr>
          <w:p>
            <w:pPr>
              <w:widowControl/>
              <w:snapToGrid w:val="0"/>
              <w:spacing w:line="240" w:lineRule="exact"/>
              <w:jc w:val="center"/>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评审内容及规则</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标准</w:t>
            </w:r>
          </w:p>
          <w:p>
            <w:pPr>
              <w:widowControl/>
              <w:snapToGrid w:val="0"/>
              <w:spacing w:line="240" w:lineRule="exact"/>
              <w:jc w:val="center"/>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分值</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黑体" w:hAnsi="宋体" w:eastAsia="黑体" w:cs="宋体"/>
                <w:color w:val="000000" w:themeColor="text1"/>
                <w:szCs w:val="21"/>
                <w:highlight w:val="none"/>
                <w14:textFill>
                  <w14:solidFill>
                    <w14:schemeClr w14:val="tx1"/>
                  </w14:solidFill>
                </w14:textFill>
              </w:rPr>
            </w:pPr>
            <w:r>
              <w:rPr>
                <w:rFonts w:hint="eastAsia" w:ascii="黑体" w:hAnsi="宋体" w:eastAsia="黑体" w:cs="宋体"/>
                <w:color w:val="000000" w:themeColor="text1"/>
                <w:szCs w:val="21"/>
                <w:highlight w:val="none"/>
                <w14:textFill>
                  <w14:solidFill>
                    <w14:schemeClr w14:val="tx1"/>
                  </w14:solidFill>
                </w14:textFill>
              </w:rPr>
              <w:t>备注</w:t>
            </w:r>
          </w:p>
        </w:tc>
      </w:tr>
      <w:tr>
        <w:tblPrEx>
          <w:tblCellMar>
            <w:top w:w="0" w:type="dxa"/>
            <w:left w:w="108" w:type="dxa"/>
            <w:bottom w:w="0" w:type="dxa"/>
            <w:right w:w="108" w:type="dxa"/>
          </w:tblCellMar>
        </w:tblPrEx>
        <w:trPr>
          <w:trHeight w:val="1688" w:hRule="exact"/>
        </w:trPr>
        <w:tc>
          <w:tcPr>
            <w:tcW w:w="791" w:type="dxa"/>
            <w:tcBorders>
              <w:top w:val="nil"/>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1</w:t>
            </w:r>
          </w:p>
        </w:tc>
        <w:tc>
          <w:tcPr>
            <w:tcW w:w="1318" w:type="dxa"/>
            <w:tcBorders>
              <w:top w:val="nil"/>
              <w:left w:val="nil"/>
              <w:bottom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价格</w:t>
            </w:r>
          </w:p>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（30分）</w:t>
            </w:r>
          </w:p>
        </w:tc>
        <w:tc>
          <w:tcPr>
            <w:tcW w:w="5229" w:type="dxa"/>
            <w:tcBorders>
              <w:top w:val="nil"/>
              <w:left w:val="nil"/>
              <w:bottom w:val="single" w:color="auto" w:sz="4" w:space="0"/>
              <w:right w:val="single" w:color="auto" w:sz="4" w:space="0"/>
            </w:tcBorders>
            <w:vAlign w:val="center"/>
          </w:tcPr>
          <w:p>
            <w:pPr>
              <w:rPr>
                <w:rFonts w:ascii="宋体" w:hAnsi="宋体"/>
                <w:color w:val="000000" w:themeColor="text1"/>
                <w:kern w:val="0"/>
                <w:sz w:val="20"/>
                <w:szCs w:val="21"/>
                <w:highlight w:val="none"/>
                <w14:textFill>
                  <w14:solidFill>
                    <w14:schemeClr w14:val="tx1"/>
                  </w14:solidFill>
                </w14:textFill>
              </w:rPr>
            </w:pPr>
            <w:r>
              <w:rPr>
                <w:rFonts w:ascii="宋体" w:hAnsi="宋体"/>
                <w:color w:val="000000" w:themeColor="text1"/>
                <w:kern w:val="0"/>
                <w:sz w:val="20"/>
                <w:szCs w:val="21"/>
                <w:highlight w:val="none"/>
                <w14:textFill>
                  <w14:solidFill>
                    <w14:schemeClr w14:val="tx1"/>
                  </w14:solidFill>
                </w14:textFill>
              </w:rPr>
              <w:fldChar w:fldCharType="begin"/>
            </w:r>
            <w:r>
              <w:rPr>
                <w:rFonts w:hint="eastAsia" w:ascii="宋体" w:hAnsi="宋体"/>
                <w:color w:val="000000" w:themeColor="text1"/>
                <w:kern w:val="0"/>
                <w:sz w:val="20"/>
                <w:szCs w:val="21"/>
                <w:highlight w:val="none"/>
                <w14:textFill>
                  <w14:solidFill>
                    <w14:schemeClr w14:val="tx1"/>
                  </w14:solidFill>
                </w14:textFill>
              </w:rPr>
              <w:instrText xml:space="preserve"> LINK Word.Document.12 "C:\\Users\\Lenovo\\Documents\\WeChat Files\\wxid_r0hr6kup37gm21\\FileStorage\\File\\2022-11\\评分标准-2022-11(1).docx" "OLE_LINK1" \h \a  \* MERGEFORMAT</w:instrText>
            </w:r>
            <w:r>
              <w:rPr>
                <w:rFonts w:ascii="宋体" w:hAnsi="宋体"/>
                <w:color w:val="000000" w:themeColor="text1"/>
                <w:kern w:val="0"/>
                <w:sz w:val="20"/>
                <w:szCs w:val="21"/>
                <w:highlight w:val="none"/>
                <w14:textFill>
                  <w14:solidFill>
                    <w14:schemeClr w14:val="tx1"/>
                  </w14:solidFill>
                </w14:textFill>
              </w:rPr>
              <w:fldChar w:fldCharType="separate"/>
            </w:r>
            <w:r>
              <w:rPr>
                <w:rFonts w:hint="eastAsia" w:ascii="宋体" w:hAnsi="宋体"/>
                <w:color w:val="000000" w:themeColor="text1"/>
                <w:kern w:val="0"/>
                <w:sz w:val="20"/>
                <w:szCs w:val="21"/>
                <w:highlight w:val="none"/>
                <w14:textFill>
                  <w14:solidFill>
                    <w14:schemeClr w14:val="tx1"/>
                  </w14:solidFill>
                </w14:textFill>
              </w:rPr>
              <w:t>投标报价得分＝（评标基准价</w:t>
            </w:r>
            <w:r>
              <w:rPr>
                <w:rFonts w:ascii="宋体" w:hAnsi="宋体"/>
                <w:color w:val="000000" w:themeColor="text1"/>
                <w:kern w:val="0"/>
                <w:sz w:val="20"/>
                <w:szCs w:val="21"/>
                <w:highlight w:val="none"/>
                <w14:textFill>
                  <w14:solidFill>
                    <w14:schemeClr w14:val="tx1"/>
                  </w14:solidFill>
                </w14:textFill>
              </w:rPr>
              <w:t>/</w:t>
            </w:r>
            <w:r>
              <w:rPr>
                <w:rFonts w:hint="eastAsia" w:ascii="宋体" w:hAnsi="宋体"/>
                <w:color w:val="000000" w:themeColor="text1"/>
                <w:kern w:val="0"/>
                <w:sz w:val="20"/>
                <w:szCs w:val="21"/>
                <w:highlight w:val="none"/>
                <w14:textFill>
                  <w14:solidFill>
                    <w14:schemeClr w14:val="tx1"/>
                  </w14:solidFill>
                </w14:textFill>
              </w:rPr>
              <w:t>投标报价）×价格分值【注：满足招标文件要求且投标价格最低的投标报价为评标基准价。】最低报价不是中标的唯一依据。因落实政府采购政策进行价格调整的，以调整后的价格计算评标基准价和投标报价。</w:t>
            </w:r>
            <w:r>
              <w:rPr>
                <w:rFonts w:ascii="宋体" w:hAnsi="宋体"/>
                <w:color w:val="000000" w:themeColor="text1"/>
                <w:kern w:val="0"/>
                <w:sz w:val="20"/>
                <w:szCs w:val="21"/>
                <w:highlight w:val="none"/>
                <w14:textFill>
                  <w14:solidFill>
                    <w14:schemeClr w14:val="tx1"/>
                  </w14:solidFill>
                </w14:textFill>
              </w:rPr>
              <w:fldChar w:fldCharType="end"/>
            </w:r>
          </w:p>
        </w:tc>
        <w:tc>
          <w:tcPr>
            <w:tcW w:w="2192"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30</w:t>
            </w:r>
          </w:p>
        </w:tc>
        <w:tc>
          <w:tcPr>
            <w:tcW w:w="605"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791" w:type="dxa"/>
            <w:vMerge w:val="restart"/>
            <w:tcBorders>
              <w:top w:val="nil"/>
              <w:left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2</w:t>
            </w:r>
          </w:p>
        </w:tc>
        <w:tc>
          <w:tcPr>
            <w:tcW w:w="131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企业实力</w:t>
            </w:r>
          </w:p>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（5分）</w:t>
            </w:r>
          </w:p>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获得过省级及以上政府部门颁发奖项得2分，获得过市级政府部门颁发奖项得1分，最多得2分。</w:t>
            </w:r>
          </w:p>
        </w:tc>
        <w:tc>
          <w:tcPr>
            <w:tcW w:w="2192"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w:t>
            </w:r>
          </w:p>
        </w:tc>
        <w:tc>
          <w:tcPr>
            <w:tcW w:w="605" w:type="dxa"/>
            <w:vMerge w:val="restart"/>
            <w:tcBorders>
              <w:top w:val="nil"/>
              <w:left w:val="single" w:color="auto" w:sz="4" w:space="0"/>
              <w:bottom w:val="single" w:color="auto" w:sz="4" w:space="0"/>
              <w:right w:val="single" w:color="auto" w:sz="4" w:space="0"/>
            </w:tcBorders>
            <w:vAlign w:val="center"/>
          </w:tcPr>
          <w:p>
            <w:pPr>
              <w:snapToGrid w:val="0"/>
              <w:spacing w:line="240" w:lineRule="exact"/>
              <w:jc w:val="left"/>
              <w:rPr>
                <w:rFonts w:ascii="宋体" w:hAnsi="宋体"/>
                <w:color w:val="000000" w:themeColor="text1"/>
                <w:sz w:val="11"/>
                <w:highlight w:val="none"/>
                <w14:textFill>
                  <w14:solidFill>
                    <w14:schemeClr w14:val="tx1"/>
                  </w14:solidFill>
                </w14:textFill>
              </w:rPr>
            </w:pPr>
          </w:p>
        </w:tc>
      </w:tr>
      <w:tr>
        <w:tblPrEx>
          <w:tblCellMar>
            <w:top w:w="0" w:type="dxa"/>
            <w:left w:w="108" w:type="dxa"/>
            <w:bottom w:w="0" w:type="dxa"/>
            <w:right w:w="108" w:type="dxa"/>
          </w:tblCellMar>
        </w:tblPrEx>
        <w:trPr>
          <w:trHeight w:val="689" w:hRule="exact"/>
        </w:trPr>
        <w:tc>
          <w:tcPr>
            <w:tcW w:w="791"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1.投标人在国家企业信息信用公示系统无行政处罚记录和未被列入经营异常名录的得标准分，否则不得分。（附相关证明材料复印件，加盖单位公章）</w:t>
            </w:r>
          </w:p>
        </w:tc>
        <w:tc>
          <w:tcPr>
            <w:tcW w:w="2192"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w:t>
            </w:r>
          </w:p>
        </w:tc>
        <w:tc>
          <w:tcPr>
            <w:tcW w:w="6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11"/>
                <w:highlight w:val="none"/>
                <w14:textFill>
                  <w14:solidFill>
                    <w14:schemeClr w14:val="tx1"/>
                  </w14:solidFill>
                </w14:textFill>
              </w:rPr>
            </w:pPr>
          </w:p>
        </w:tc>
      </w:tr>
      <w:tr>
        <w:tblPrEx>
          <w:tblCellMar>
            <w:top w:w="0" w:type="dxa"/>
            <w:left w:w="108" w:type="dxa"/>
            <w:bottom w:w="0" w:type="dxa"/>
            <w:right w:w="108" w:type="dxa"/>
          </w:tblCellMar>
        </w:tblPrEx>
        <w:trPr>
          <w:trHeight w:val="874" w:hRule="exact"/>
        </w:trPr>
        <w:tc>
          <w:tcPr>
            <w:tcW w:w="791" w:type="dxa"/>
            <w:vMerge w:val="continue"/>
            <w:tcBorders>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p>
        </w:tc>
        <w:tc>
          <w:tcPr>
            <w:tcW w:w="1318"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2.投标人近三年内获得信用A级评价证书的得2分，B级的得1分。</w:t>
            </w:r>
          </w:p>
        </w:tc>
        <w:tc>
          <w:tcPr>
            <w:tcW w:w="2192"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2</w:t>
            </w:r>
          </w:p>
        </w:tc>
        <w:tc>
          <w:tcPr>
            <w:tcW w:w="6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11"/>
                <w:highlight w:val="none"/>
                <w14:textFill>
                  <w14:solidFill>
                    <w14:schemeClr w14:val="tx1"/>
                  </w14:solidFill>
                </w14:textFill>
              </w:rPr>
            </w:pPr>
          </w:p>
        </w:tc>
      </w:tr>
      <w:tr>
        <w:tblPrEx>
          <w:tblCellMar>
            <w:top w:w="0" w:type="dxa"/>
            <w:left w:w="108" w:type="dxa"/>
            <w:bottom w:w="0" w:type="dxa"/>
            <w:right w:w="108" w:type="dxa"/>
          </w:tblCellMar>
        </w:tblPrEx>
        <w:trPr>
          <w:trHeight w:val="971" w:hRule="exact"/>
        </w:trPr>
        <w:tc>
          <w:tcPr>
            <w:tcW w:w="791" w:type="dxa"/>
            <w:tcBorders>
              <w:top w:val="nil"/>
              <w:left w:val="single" w:color="auto" w:sz="4" w:space="0"/>
              <w:right w:val="single" w:color="auto" w:sz="4" w:space="0"/>
            </w:tcBorders>
            <w:noWrap/>
            <w:vAlign w:val="center"/>
          </w:tcPr>
          <w:p>
            <w:pPr>
              <w:widowControl/>
              <w:snapToGrid w:val="0"/>
              <w:spacing w:line="240" w:lineRule="exact"/>
              <w:jc w:val="center"/>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3</w:t>
            </w:r>
          </w:p>
        </w:tc>
        <w:tc>
          <w:tcPr>
            <w:tcW w:w="131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项目业绩</w:t>
            </w:r>
          </w:p>
          <w:p>
            <w:pPr>
              <w:widowControl/>
              <w:snapToGrid w:val="0"/>
              <w:spacing w:line="240" w:lineRule="exac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（5分）</w:t>
            </w: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1.事业单位、大型国企等劳务派遣、外包服务案例的，每项得1分，最高得标准分。</w:t>
            </w:r>
          </w:p>
        </w:tc>
        <w:tc>
          <w:tcPr>
            <w:tcW w:w="2192" w:type="dxa"/>
            <w:tcBorders>
              <w:top w:val="nil"/>
              <w:left w:val="single" w:color="auto" w:sz="4" w:space="0"/>
              <w:bottom w:val="single" w:color="auto" w:sz="4" w:space="0"/>
              <w:right w:val="single" w:color="auto" w:sz="4" w:space="0"/>
            </w:tcBorders>
            <w:vAlign w:val="center"/>
          </w:tcPr>
          <w:p>
            <w:pPr>
              <w:widowControl/>
              <w:snapToGrid w:val="0"/>
              <w:spacing w:line="32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5</w:t>
            </w:r>
          </w:p>
        </w:tc>
        <w:tc>
          <w:tcPr>
            <w:tcW w:w="605" w:type="dxa"/>
            <w:tcBorders>
              <w:top w:val="nil"/>
              <w:left w:val="single" w:color="auto" w:sz="4" w:space="0"/>
              <w:bottom w:val="single" w:color="auto" w:sz="4" w:space="0"/>
              <w:right w:val="single" w:color="auto" w:sz="4" w:space="0"/>
            </w:tcBorders>
            <w:noWrap/>
            <w:vAlign w:val="center"/>
          </w:tcPr>
          <w:p>
            <w:pPr>
              <w:snapToGrid w:val="0"/>
              <w:spacing w:line="200" w:lineRule="exact"/>
              <w:jc w:val="left"/>
              <w:rPr>
                <w:rFonts w:ascii="宋体" w:hAnsi="宋体"/>
                <w:color w:val="000000" w:themeColor="text1"/>
                <w:sz w:val="13"/>
                <w:highlight w:val="none"/>
                <w14:textFill>
                  <w14:solidFill>
                    <w14:schemeClr w14:val="tx1"/>
                  </w14:solidFill>
                </w14:textFill>
              </w:rPr>
            </w:pPr>
          </w:p>
        </w:tc>
      </w:tr>
      <w:tr>
        <w:tblPrEx>
          <w:tblCellMar>
            <w:top w:w="0" w:type="dxa"/>
            <w:left w:w="108" w:type="dxa"/>
            <w:bottom w:w="0" w:type="dxa"/>
            <w:right w:w="108" w:type="dxa"/>
          </w:tblCellMar>
        </w:tblPrEx>
        <w:trPr>
          <w:trHeight w:val="1917" w:hRule="exact"/>
        </w:trPr>
        <w:tc>
          <w:tcPr>
            <w:tcW w:w="791"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 xml:space="preserve">  4</w:t>
            </w:r>
          </w:p>
        </w:tc>
        <w:tc>
          <w:tcPr>
            <w:tcW w:w="1318" w:type="dxa"/>
            <w:vMerge w:val="restart"/>
            <w:tcBorders>
              <w:top w:val="single" w:color="auto" w:sz="4" w:space="0"/>
              <w:left w:val="nil"/>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服务方案（45）</w:t>
            </w: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人员管理方案（包括但不限于人员招聘、补给、调配及人员档案、薪酬管理方案等）先进合理，协调性高的得15分； 中：人员管理方案（包括但不限于人员招聘、补给、调配及人员档案、薪酬管理方案等）基本合理，具有一定协调性的得10分； 差：人员管理方案（包括但不限于人员招聘、补给、调配及人员档案、薪酬管理方案等）不太合理，协调性一般的得5分； 未提供对应方案不得分</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15</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411" w:hRule="exact"/>
        </w:trPr>
        <w:tc>
          <w:tcPr>
            <w:tcW w:w="791"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1318" w:type="dxa"/>
            <w:vMerge w:val="continue"/>
            <w:tcBorders>
              <w:left w:val="nil"/>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asci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根据投标人针对本项目提供的应急服务方案进行评审： 优：非常全面的紧急情况分析，并能针对紧急情况出具非常科学合理的应对措施，应急服务方案计划非常完整，非常符合项目实际的得10分； 良：有全面的紧急情况分析，并能针对紧急情况出具科学合理的应对措施，应急服务方案计划完整，符合项目实际的得7分； 中：有基本的紧急情况分析，并能针对紧急情况出具基本科学合理的应对措施，应急服务方案计划基本完整的得4分； 差：没有基本的紧急情况分析，应急服务方案计划不完整的得1分； 未提供对应方案不得分。</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10</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448" w:hRule="exact"/>
        </w:trPr>
        <w:tc>
          <w:tcPr>
            <w:tcW w:w="791"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1318" w:type="dxa"/>
            <w:vMerge w:val="continue"/>
            <w:tcBorders>
              <w:left w:val="nil"/>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根据投标人所提供的内部管理制度的合理性、科学性、全面性以及是否适用进行综合评审： 优：制度非常完整合理、科学性、全面性、可行性非常强的得10分； 良：制度完整、科学性、全面性、可行性强的得7分； 中：制度不完整、科学性、全面性、可行性一般的得4分； 差：制度不完整、科学性差、不全面、无可行性的得1分； 未提供对应方案不得分。</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10</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3412" w:hRule="exact"/>
        </w:trPr>
        <w:tc>
          <w:tcPr>
            <w:tcW w:w="791"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1318" w:type="dxa"/>
            <w:vMerge w:val="continue"/>
            <w:tcBorders>
              <w:left w:val="nil"/>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suppressAutoHyphens/>
              <w:spacing w:line="360" w:lineRule="exact"/>
              <w:rPr>
                <w:rFonts w:ascii="宋体"/>
                <w:color w:val="000000" w:themeColor="text1"/>
                <w:kern w:val="0"/>
                <w:sz w:val="20"/>
                <w:szCs w:val="20"/>
                <w:highlight w:val="none"/>
                <w14:textFill>
                  <w14:solidFill>
                    <w14:schemeClr w14:val="tx1"/>
                  </w14:solidFill>
                </w14:textFill>
              </w:rPr>
            </w:pPr>
            <w:r>
              <w:rPr>
                <w:rFonts w:ascii="宋体" w:hAnsi="宋体"/>
                <w:color w:val="000000" w:themeColor="text1"/>
                <w:kern w:val="0"/>
                <w:sz w:val="20"/>
                <w:szCs w:val="21"/>
                <w:highlight w:val="none"/>
                <w14:textFill>
                  <w14:solidFill>
                    <w14:schemeClr w14:val="tx1"/>
                  </w14:solidFill>
                </w14:textFill>
              </w:rPr>
              <w:t>根据投标人对笔试、面试计划安排、人员招聘质量保障、综合满意度的评价标准等进行综合评审: 优：计划安排及措施完整合理、可行性强，质量保障措施及评价标准全面，完全满足并优于采购需求要求，得10分； 良：计划安排及措施基本合理、可行性较强，质量保障措施及评价标准相对全面，符合采购需求要求，得6分； 中：计划安排及措施比较合理、有可行性，质量保障措施及评价标准一般，基本符合采购需求要求，得3分； 差：计划安排及措施不合理、可行性差，质量保障措施及评价标准不全面，得1分；  未提供对应方案不得分。</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10</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123" w:hRule="exact"/>
        </w:trPr>
        <w:tc>
          <w:tcPr>
            <w:tcW w:w="791"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 xml:space="preserve">  5</w:t>
            </w:r>
          </w:p>
        </w:tc>
        <w:tc>
          <w:tcPr>
            <w:tcW w:w="1318" w:type="dxa"/>
            <w:vMerge w:val="restart"/>
            <w:tcBorders>
              <w:top w:val="single" w:color="auto" w:sz="4" w:space="0"/>
              <w:left w:val="nil"/>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项目团队（15）</w:t>
            </w: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1.拟投入的项目负责人具有</w:t>
            </w:r>
            <w:r>
              <w:rPr>
                <w:rFonts w:hint="eastAsia" w:ascii="宋体"/>
                <w:color w:val="000000" w:themeColor="text1"/>
                <w:kern w:val="0"/>
                <w:sz w:val="20"/>
                <w:szCs w:val="20"/>
                <w:highlight w:val="none"/>
                <w14:textFill>
                  <w14:solidFill>
                    <w14:schemeClr w14:val="tx1"/>
                  </w14:solidFill>
                </w14:textFill>
              </w:rPr>
              <w:t>一级企业人力资源管理师得3分，拟投入的一名项目管理人员具有一级企业人力资源管理师证书得3分，总分不超过6分，需提供6个月以上的社保缴纳证明，否则不得分</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6</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88" w:hRule="exact"/>
        </w:trPr>
        <w:tc>
          <w:tcPr>
            <w:tcW w:w="79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1318" w:type="dxa"/>
            <w:vMerge w:val="continue"/>
            <w:tcBorders>
              <w:left w:val="nil"/>
              <w:bottom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52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2.拟投入的项目管理人员职责明确，</w:t>
            </w:r>
            <w:r>
              <w:rPr>
                <w:rFonts w:hint="eastAsia" w:ascii="宋体" w:hAnsi="宋体" w:cs="宋体"/>
                <w:color w:val="000000" w:themeColor="text1"/>
                <w:kern w:val="0"/>
                <w:sz w:val="19"/>
                <w:szCs w:val="19"/>
                <w:highlight w:val="none"/>
                <w14:textFill>
                  <w14:solidFill>
                    <w14:schemeClr w14:val="tx1"/>
                  </w14:solidFill>
                </w14:textFill>
              </w:rPr>
              <w:t>管理制度健全，最优者得标准分，其余递减1分。</w:t>
            </w: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9</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788" w:hRule="exact"/>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p>
        </w:tc>
        <w:tc>
          <w:tcPr>
            <w:tcW w:w="1318"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20"/>
                <w:szCs w:val="21"/>
                <w:highlight w:val="none"/>
                <w14:textFill>
                  <w14:solidFill>
                    <w14:schemeClr w14:val="tx1"/>
                  </w14:solidFill>
                </w14:textFill>
              </w:rPr>
            </w:pPr>
            <w:r>
              <w:rPr>
                <w:rFonts w:hint="eastAsia" w:ascii="宋体" w:hAnsi="宋体"/>
                <w:color w:val="000000" w:themeColor="text1"/>
                <w:kern w:val="0"/>
                <w:sz w:val="20"/>
                <w:szCs w:val="21"/>
                <w:highlight w:val="none"/>
                <w14:textFill>
                  <w14:solidFill>
                    <w14:schemeClr w14:val="tx1"/>
                  </w14:solidFill>
                </w14:textFill>
              </w:rPr>
              <w:t>总分</w:t>
            </w:r>
          </w:p>
        </w:tc>
        <w:tc>
          <w:tcPr>
            <w:tcW w:w="522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left"/>
              <w:rPr>
                <w:rFonts w:ascii="宋体" w:hAnsi="宋体"/>
                <w:color w:val="000000" w:themeColor="text1"/>
                <w:kern w:val="0"/>
                <w:sz w:val="20"/>
                <w:szCs w:val="21"/>
                <w:highlight w:val="none"/>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100</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exact"/>
              <w:jc w:val="center"/>
              <w:rPr>
                <w:rFonts w:ascii="宋体" w:hAnsi="宋体" w:cs="宋体"/>
                <w:color w:val="000000" w:themeColor="text1"/>
                <w:szCs w:val="21"/>
                <w:highlight w:val="none"/>
                <w14:textFill>
                  <w14:solidFill>
                    <w14:schemeClr w14:val="tx1"/>
                  </w14:solidFill>
                </w14:textFill>
              </w:rPr>
            </w:pPr>
          </w:p>
        </w:tc>
      </w:tr>
    </w:tbl>
    <w:p>
      <w:pPr>
        <w:pStyle w:val="2"/>
        <w:ind w:left="400" w:hanging="400"/>
        <w:rPr>
          <w:color w:val="000000" w:themeColor="text1"/>
          <w:highlight w:val="none"/>
          <w14:textFill>
            <w14:solidFill>
              <w14:schemeClr w14:val="tx1"/>
            </w14:solidFill>
          </w14:textFill>
        </w:rPr>
      </w:pPr>
    </w:p>
    <w:p>
      <w:pPr>
        <w:adjustRightInd w:val="0"/>
        <w:snapToGrid w:val="0"/>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注：由评委负责对每位合格的投标人的商务、技术情况按以上标准进行独立打分，</w:t>
      </w:r>
      <w:r>
        <w:rPr>
          <w:rFonts w:hint="eastAsia" w:ascii="宋体" w:hAnsi="宋体" w:cs="宋体"/>
          <w:b/>
          <w:color w:val="000000" w:themeColor="text1"/>
          <w:sz w:val="24"/>
          <w:highlight w:val="none"/>
          <w14:textFill>
            <w14:solidFill>
              <w14:schemeClr w14:val="tx1"/>
            </w14:solidFill>
          </w14:textFill>
        </w:rPr>
        <w:t>评分汇总</w:t>
      </w:r>
      <w:r>
        <w:rPr>
          <w:rFonts w:hint="eastAsia" w:ascii="宋体" w:hAnsi="宋体"/>
          <w:b/>
          <w:bCs/>
          <w:color w:val="000000" w:themeColor="text1"/>
          <w:sz w:val="24"/>
          <w:highlight w:val="none"/>
          <w14:textFill>
            <w14:solidFill>
              <w14:schemeClr w14:val="tx1"/>
            </w14:solidFill>
          </w14:textFill>
        </w:rPr>
        <w:t>算术平均值作为此企业的商务、技术部分得分。保留小数点后两位，第三位四舍五入。</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25.评标过程的保密性</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25.1 开标后，直到授予合同为止，凡是属于审查、澄清、评价和比较的有关资料以及授标建议等评委或参与评标的有关工作人员均不得向投标人或其他无关的人员透露，违者给予警告、取消担任评委的资格，不得再参加任何项目的评标。</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25.2 投标人在评标过程中，所进行的力图影响评标结果的不符合《招投标法》、《政府采购法》及本次招标中有关规定的活动，将被取消其中标资格。</w:t>
      </w:r>
      <w:bookmarkStart w:id="132" w:name="_Toc349637925"/>
      <w:bookmarkStart w:id="133" w:name="_Toc349573126"/>
      <w:bookmarkStart w:id="134" w:name="_Toc267301287"/>
      <w:bookmarkStart w:id="135" w:name="_Toc356488107"/>
      <w:bookmarkStart w:id="136" w:name="_Toc298240410"/>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1"/>
          <w:sz w:val="24"/>
          <w:highlight w:val="none"/>
          <w14:textFill>
            <w14:solidFill>
              <w14:schemeClr w14:val="tx1"/>
            </w14:solidFill>
          </w14:textFill>
        </w:rPr>
        <w:t>25.3招标人不解释中标或不中标原因，不退回投标文件和其他投标资料。</w:t>
      </w:r>
    </w:p>
    <w:p>
      <w:pPr>
        <w:pStyle w:val="32"/>
        <w:spacing w:before="0" w:after="0" w:line="500" w:lineRule="exact"/>
        <w:rPr>
          <w:rFonts w:ascii="宋体" w:hAnsi="宋体" w:cs="宋体"/>
          <w:color w:val="000000" w:themeColor="text1"/>
          <w:highlight w:val="none"/>
          <w14:textFill>
            <w14:solidFill>
              <w14:schemeClr w14:val="tx1"/>
            </w14:solidFill>
          </w14:textFill>
        </w:rPr>
      </w:pPr>
    </w:p>
    <w:p>
      <w:pPr>
        <w:pStyle w:val="32"/>
        <w:spacing w:before="0" w:after="0" w:line="500" w:lineRule="exact"/>
        <w:rPr>
          <w:rFonts w:ascii="宋体" w:hAnsi="宋体"/>
          <w:color w:val="000000" w:themeColor="text1"/>
          <w:highlight w:val="none"/>
          <w14:textFill>
            <w14:solidFill>
              <w14:schemeClr w14:val="tx1"/>
            </w14:solidFill>
          </w14:textFill>
        </w:rPr>
      </w:pPr>
      <w:bookmarkStart w:id="137" w:name="_Toc107479271"/>
      <w:bookmarkStart w:id="138" w:name="_Toc118809478"/>
      <w:r>
        <w:rPr>
          <w:rFonts w:hint="eastAsia" w:ascii="宋体" w:hAnsi="宋体" w:cs="宋体"/>
          <w:color w:val="000000" w:themeColor="text1"/>
          <w:highlight w:val="none"/>
          <w14:textFill>
            <w14:solidFill>
              <w14:schemeClr w14:val="tx1"/>
            </w14:solidFill>
          </w14:textFill>
        </w:rPr>
        <w:t>（五）</w:t>
      </w:r>
      <w:r>
        <w:rPr>
          <w:rFonts w:hint="eastAsia" w:ascii="宋体" w:hAnsi="宋体"/>
          <w:color w:val="000000" w:themeColor="text1"/>
          <w:highlight w:val="none"/>
          <w14:textFill>
            <w14:solidFill>
              <w14:schemeClr w14:val="tx1"/>
            </w14:solidFill>
          </w14:textFill>
        </w:rPr>
        <w:t>授予合同</w:t>
      </w:r>
      <w:bookmarkEnd w:id="132"/>
      <w:bookmarkEnd w:id="133"/>
      <w:bookmarkEnd w:id="134"/>
      <w:bookmarkEnd w:id="135"/>
      <w:bookmarkEnd w:id="136"/>
      <w:bookmarkEnd w:id="137"/>
      <w:bookmarkEnd w:id="138"/>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26.合同授予标准</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26.1合同将授予被确定为实质上响应招标文件要求，评标认为具备履行合同义务条件、报价合理、技术和商务条件都符合条件基础上综合评分得分最高的投标人。</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26.2 最低投标价不一定是被授予合同的保证。</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26.3 如果确定该投标人无法圆满履行合同，招标人将对下一个可能中标的投标人资格作出类似的审查。</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27.接受和拒绝任何或所有投标的权力</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27.1为维护国家利益，招标人在授予合同之前仍有选择或拒绝任何全部投标的权力，并对所采取的行为不作任何解释。</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28.中标通知书</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28.1 中标公告期满后，招标人将以书面形式发出《中标通知书》，但发出时间不超过投标有效期，《中标通知书》一经发出即发生法律效力。</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28.2 《中标通知书》将作为签订合同的依据。</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28.3 招标代理机构将在中标人按规定签订合同并提交履约保证金（如适用）后退还其投标保证金。</w:t>
      </w:r>
    </w:p>
    <w:p>
      <w:pPr>
        <w:spacing w:line="50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29.签订合同</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29.1 投标人收到《中标通知书》后，按《中标通知书》中规定的时间地点与买方签订合同。招标人和中标人不得再订立背离合同实质性内容的其他协议。</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29.2如中标方拒签合同，则按违约处理。招标代理机构没收其投标保证金。</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29.3招标文件、中标方的投标文件及其澄清文件等，均为签订经济合同的依据。</w:t>
      </w:r>
    </w:p>
    <w:p>
      <w:pPr>
        <w:pStyle w:val="4"/>
        <w:numPr>
          <w:ilvl w:val="0"/>
          <w:numId w:val="7"/>
        </w:numPr>
        <w:spacing w:line="500" w:lineRule="exact"/>
        <w:jc w:val="center"/>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招标失败条件</w:t>
      </w:r>
    </w:p>
    <w:p>
      <w:pPr>
        <w:rPr>
          <w:rFonts w:ascii="宋体" w:hAnsi="宋体" w:cs="宋体"/>
          <w:b/>
          <w:color w:val="000000" w:themeColor="text1"/>
          <w:sz w:val="24"/>
          <w:szCs w:val="22"/>
          <w:highlight w:val="none"/>
          <w14:textFill>
            <w14:solidFill>
              <w14:schemeClr w14:val="tx1"/>
            </w14:solidFill>
          </w14:textFill>
        </w:rPr>
      </w:pPr>
      <w:r>
        <w:rPr>
          <w:rFonts w:hint="eastAsia" w:ascii="宋体" w:hAnsi="宋体" w:cs="宋体"/>
          <w:b/>
          <w:color w:val="000000" w:themeColor="text1"/>
          <w:sz w:val="24"/>
          <w:szCs w:val="22"/>
          <w:highlight w:val="none"/>
          <w14:textFill>
            <w14:solidFill>
              <w14:schemeClr w14:val="tx1"/>
            </w14:solidFill>
          </w14:textFill>
        </w:rPr>
        <w:t>30、招标失败条件</w:t>
      </w:r>
    </w:p>
    <w:p>
      <w:pPr>
        <w:pStyle w:val="16"/>
        <w:tabs>
          <w:tab w:val="left" w:pos="720"/>
          <w:tab w:val="left" w:pos="900"/>
          <w:tab w:val="left" w:pos="1260"/>
        </w:tabs>
        <w:adjustRightInd w:val="0"/>
        <w:spacing w:line="500" w:lineRule="exact"/>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30.1出现影响采购公正的违法、违规行为的；</w:t>
      </w:r>
    </w:p>
    <w:p>
      <w:pPr>
        <w:pStyle w:val="16"/>
        <w:tabs>
          <w:tab w:val="left" w:pos="720"/>
          <w:tab w:val="left" w:pos="900"/>
          <w:tab w:val="left" w:pos="1260"/>
        </w:tabs>
        <w:adjustRightInd w:val="0"/>
        <w:spacing w:line="500" w:lineRule="exact"/>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30.2因重大变故，采购任务取消的；</w:t>
      </w:r>
    </w:p>
    <w:p>
      <w:pPr>
        <w:pStyle w:val="16"/>
        <w:tabs>
          <w:tab w:val="left" w:pos="720"/>
          <w:tab w:val="left" w:pos="900"/>
          <w:tab w:val="left" w:pos="1260"/>
        </w:tabs>
        <w:adjustRightInd w:val="0"/>
        <w:spacing w:line="500" w:lineRule="exact"/>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30.3招标文件截止时间后，实际参与的供应商不足法定家数的；</w:t>
      </w:r>
    </w:p>
    <w:p>
      <w:pPr>
        <w:pStyle w:val="16"/>
        <w:tabs>
          <w:tab w:val="left" w:pos="720"/>
          <w:tab w:val="left" w:pos="900"/>
          <w:tab w:val="left" w:pos="1260"/>
        </w:tabs>
        <w:adjustRightInd w:val="0"/>
        <w:spacing w:line="500" w:lineRule="exact"/>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30.4最终报价超过上限控制价的；</w:t>
      </w:r>
    </w:p>
    <w:p>
      <w:pPr>
        <w:pStyle w:val="16"/>
        <w:tabs>
          <w:tab w:val="left" w:pos="720"/>
          <w:tab w:val="left" w:pos="900"/>
          <w:tab w:val="left" w:pos="1260"/>
        </w:tabs>
        <w:adjustRightInd w:val="0"/>
        <w:spacing w:line="500" w:lineRule="exact"/>
        <w:rPr>
          <w:rFonts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30.5对招标文件作出实质性响应的供应商不足法定家数的；</w:t>
      </w:r>
    </w:p>
    <w:p>
      <w:pPr>
        <w:pStyle w:val="32"/>
        <w:rPr>
          <w:color w:val="000000" w:themeColor="text1"/>
          <w:highlight w:val="none"/>
          <w14:textFill>
            <w14:solidFill>
              <w14:schemeClr w14:val="tx1"/>
            </w14:solidFill>
          </w14:textFill>
        </w:rPr>
      </w:pPr>
      <w:bookmarkStart w:id="139" w:name="_Toc9858_WPSOffice_Level1"/>
      <w:bookmarkStart w:id="140" w:name="_Toc20160"/>
      <w:bookmarkStart w:id="141" w:name="_Toc225585659"/>
    </w:p>
    <w:p>
      <w:pPr>
        <w:pStyle w:val="32"/>
        <w:rPr>
          <w:color w:val="000000" w:themeColor="text1"/>
          <w:highlight w:val="none"/>
          <w14:textFill>
            <w14:solidFill>
              <w14:schemeClr w14:val="tx1"/>
            </w14:solidFill>
          </w14:textFill>
        </w:rPr>
      </w:pPr>
    </w:p>
    <w:p>
      <w:pPr>
        <w:pStyle w:val="3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32"/>
        <w:rPr>
          <w:color w:val="000000" w:themeColor="text1"/>
          <w:highlight w:val="none"/>
          <w14:textFill>
            <w14:solidFill>
              <w14:schemeClr w14:val="tx1"/>
            </w14:solidFill>
          </w14:textFill>
        </w:rPr>
      </w:pPr>
      <w:bookmarkStart w:id="142" w:name="_Toc118809479"/>
      <w:r>
        <w:rPr>
          <w:rFonts w:hint="eastAsia"/>
          <w:color w:val="000000" w:themeColor="text1"/>
          <w:highlight w:val="none"/>
          <w14:textFill>
            <w14:solidFill>
              <w14:schemeClr w14:val="tx1"/>
            </w14:solidFill>
          </w14:textFill>
        </w:rPr>
        <w:t>第四部分合同（参考）</w:t>
      </w:r>
      <w:bookmarkEnd w:id="129"/>
      <w:bookmarkEnd w:id="139"/>
      <w:bookmarkEnd w:id="140"/>
      <w:bookmarkEnd w:id="141"/>
      <w:bookmarkEnd w:id="142"/>
      <w:bookmarkStart w:id="143" w:name="_Toc2601"/>
      <w:bookmarkStart w:id="144" w:name="_Toc222129172"/>
      <w:bookmarkStart w:id="145" w:name="_Toc225585660"/>
    </w:p>
    <w:p>
      <w:pPr>
        <w:widowControl/>
        <w:shd w:val="clear" w:color="auto" w:fill="FFFFFF"/>
        <w:spacing w:afterLines="50"/>
        <w:jc w:val="center"/>
        <w:textAlignment w:val="top"/>
        <w:outlineLvl w:val="2"/>
        <w:rPr>
          <w:rFonts w:hint="eastAsia" w:ascii="宋体" w:hAnsi="宋体" w:cs="宋体"/>
          <w:bCs/>
          <w:color w:val="000000" w:themeColor="text1"/>
          <w:kern w:val="0"/>
          <w:sz w:val="44"/>
          <w:szCs w:val="4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 xml:space="preserve">                             </w:t>
      </w:r>
      <w:r>
        <w:rPr>
          <w:rFonts w:hint="eastAsia" w:ascii="宋体" w:hAnsi="宋体" w:cs="宋体"/>
          <w:bCs/>
          <w:color w:val="000000" w:themeColor="text1"/>
          <w:kern w:val="0"/>
          <w:sz w:val="28"/>
          <w:szCs w:val="28"/>
          <w:highlight w:val="none"/>
          <w14:textFill>
            <w14:solidFill>
              <w14:schemeClr w14:val="tx1"/>
            </w14:solidFill>
          </w14:textFill>
        </w:rPr>
        <w:t>合同编号：</w:t>
      </w:r>
      <w:r>
        <w:rPr>
          <w:rFonts w:ascii="宋体" w:hAnsi="宋体" w:cs="宋体"/>
          <w:bCs/>
          <w:color w:val="000000" w:themeColor="text1"/>
          <w:kern w:val="0"/>
          <w:sz w:val="28"/>
          <w:szCs w:val="28"/>
          <w:highlight w:val="none"/>
          <w14:textFill>
            <w14:solidFill>
              <w14:schemeClr w14:val="tx1"/>
            </w14:solidFill>
          </w14:textFill>
        </w:rPr>
        <w:t>SM-CH-202</w:t>
      </w:r>
      <w:r>
        <w:rPr>
          <w:rFonts w:hint="eastAsia" w:ascii="宋体" w:hAnsi="宋体" w:cs="宋体"/>
          <w:bCs/>
          <w:color w:val="000000" w:themeColor="text1"/>
          <w:kern w:val="0"/>
          <w:sz w:val="28"/>
          <w:szCs w:val="28"/>
          <w:highlight w:val="none"/>
          <w14:textFill>
            <w14:solidFill>
              <w14:schemeClr w14:val="tx1"/>
            </w14:solidFill>
          </w14:textFill>
        </w:rPr>
        <w:t>2</w:t>
      </w:r>
      <w:r>
        <w:rPr>
          <w:rFonts w:ascii="宋体" w:hAnsi="宋体" w:cs="宋体"/>
          <w:bCs/>
          <w:color w:val="000000" w:themeColor="text1"/>
          <w:kern w:val="0"/>
          <w:sz w:val="28"/>
          <w:szCs w:val="28"/>
          <w:highlight w:val="none"/>
          <w14:textFill>
            <w14:solidFill>
              <w14:schemeClr w14:val="tx1"/>
            </w14:solidFill>
          </w14:textFill>
        </w:rPr>
        <w:t>-</w:t>
      </w:r>
    </w:p>
    <w:p>
      <w:pPr>
        <w:widowControl/>
        <w:shd w:val="clear" w:color="auto" w:fill="FFFFFF"/>
        <w:spacing w:afterLines="50"/>
        <w:jc w:val="center"/>
        <w:textAlignment w:val="top"/>
        <w:outlineLvl w:val="2"/>
        <w:rPr>
          <w:rFonts w:hint="eastAsia" w:ascii="宋体" w:hAnsi="宋体" w:cs="宋体"/>
          <w:b/>
          <w:bCs/>
          <w:color w:val="000000" w:themeColor="text1"/>
          <w:kern w:val="0"/>
          <w:sz w:val="44"/>
          <w:szCs w:val="44"/>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b/>
          <w:color w:val="000000" w:themeColor="text1"/>
          <w:kern w:val="0"/>
          <w:sz w:val="72"/>
          <w:szCs w:val="72"/>
          <w:highlight w:val="none"/>
          <w14:textFill>
            <w14:solidFill>
              <w14:schemeClr w14:val="tx1"/>
            </w14:solidFill>
          </w14:textFill>
        </w:rPr>
      </w:pPr>
    </w:p>
    <w:p>
      <w:pPr>
        <w:widowControl/>
        <w:spacing w:afterLines="50"/>
        <w:jc w:val="center"/>
        <w:rPr>
          <w:rFonts w:hint="eastAsia" w:ascii="宋体"/>
          <w:b/>
          <w:color w:val="000000" w:themeColor="text1"/>
          <w:kern w:val="0"/>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测绘地理信息劳务合同</w:t>
      </w: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spacing w:afterLines="50"/>
        <w:jc w:val="center"/>
        <w:rPr>
          <w:rFonts w:ascii="宋体"/>
          <w:color w:val="000000" w:themeColor="text1"/>
          <w:kern w:val="0"/>
          <w:highlight w:val="none"/>
          <w14:textFill>
            <w14:solidFill>
              <w14:schemeClr w14:val="tx1"/>
            </w14:solidFill>
          </w14:textFill>
        </w:rPr>
      </w:pPr>
    </w:p>
    <w:p>
      <w:pPr>
        <w:widowControl/>
        <w:spacing w:afterLines="50" w:line="240" w:lineRule="atLeast"/>
        <w:rPr>
          <w:rFonts w:ascii="楷体" w:hAnsi="楷体" w:eastAsia="楷体"/>
          <w:color w:val="000000" w:themeColor="text1"/>
          <w:kern w:val="0"/>
          <w:sz w:val="36"/>
          <w:szCs w:val="36"/>
          <w:highlight w:val="none"/>
          <w14:textFill>
            <w14:solidFill>
              <w14:schemeClr w14:val="tx1"/>
            </w14:solidFill>
          </w14:textFill>
        </w:rPr>
      </w:pPr>
      <w:r>
        <w:rPr>
          <w:rFonts w:hint="eastAsia" w:ascii="楷体" w:hAnsi="楷体" w:eastAsia="楷体" w:cs="宋体"/>
          <w:color w:val="000000" w:themeColor="text1"/>
          <w:kern w:val="0"/>
          <w:sz w:val="36"/>
          <w:szCs w:val="36"/>
          <w:highlight w:val="none"/>
          <w14:textFill>
            <w14:solidFill>
              <w14:schemeClr w14:val="tx1"/>
            </w14:solidFill>
          </w14:textFill>
        </w:rPr>
        <w:t xml:space="preserve">           甲方：</w:t>
      </w:r>
      <w:r>
        <w:rPr>
          <w:rFonts w:hint="eastAsia" w:ascii="楷体" w:hAnsi="楷体" w:eastAsia="楷体" w:cs="宋体"/>
          <w:color w:val="000000" w:themeColor="text1"/>
          <w:kern w:val="0"/>
          <w:sz w:val="36"/>
          <w:szCs w:val="36"/>
          <w:highlight w:val="none"/>
          <w:u w:val="single"/>
          <w14:textFill>
            <w14:solidFill>
              <w14:schemeClr w14:val="tx1"/>
            </w14:solidFill>
          </w14:textFill>
        </w:rPr>
        <w:t xml:space="preserve"> 江苏煤炭地质物测队  </w:t>
      </w:r>
    </w:p>
    <w:p>
      <w:pPr>
        <w:widowControl/>
        <w:spacing w:afterLines="50"/>
        <w:rPr>
          <w:rFonts w:hint="eastAsia" w:ascii="楷体" w:hAnsi="楷体" w:eastAsia="楷体"/>
          <w:color w:val="000000" w:themeColor="text1"/>
          <w:kern w:val="0"/>
          <w:highlight w:val="none"/>
          <w14:textFill>
            <w14:solidFill>
              <w14:schemeClr w14:val="tx1"/>
            </w14:solidFill>
          </w14:textFill>
        </w:rPr>
      </w:pPr>
      <w:r>
        <w:rPr>
          <w:rFonts w:hint="eastAsia" w:ascii="楷体" w:hAnsi="楷体" w:eastAsia="楷体" w:cs="宋体"/>
          <w:color w:val="000000" w:themeColor="text1"/>
          <w:kern w:val="0"/>
          <w:sz w:val="36"/>
          <w:szCs w:val="36"/>
          <w:highlight w:val="none"/>
          <w14:textFill>
            <w14:solidFill>
              <w14:schemeClr w14:val="tx1"/>
            </w14:solidFill>
          </w14:textFill>
        </w:rPr>
        <w:t xml:space="preserve">           乙方：</w:t>
      </w:r>
      <w:r>
        <w:rPr>
          <w:rFonts w:hint="eastAsia" w:ascii="楷体" w:hAnsi="楷体" w:eastAsia="楷体" w:cs="宋体"/>
          <w:color w:val="000000" w:themeColor="text1"/>
          <w:kern w:val="0"/>
          <w:sz w:val="36"/>
          <w:szCs w:val="36"/>
          <w:highlight w:val="none"/>
          <w:u w:val="single"/>
          <w14:textFill>
            <w14:solidFill>
              <w14:schemeClr w14:val="tx1"/>
            </w14:solidFill>
          </w14:textFill>
        </w:rPr>
        <w:t>南京智通人力资源服务有限公司</w:t>
      </w:r>
    </w:p>
    <w:p>
      <w:pPr>
        <w:widowControl/>
        <w:spacing w:afterLines="50"/>
        <w:jc w:val="center"/>
        <w:rPr>
          <w:rFonts w:hint="eastAsia" w:ascii="宋体"/>
          <w:color w:val="000000" w:themeColor="text1"/>
          <w:kern w:val="0"/>
          <w:highlight w:val="none"/>
          <w14:textFill>
            <w14:solidFill>
              <w14:schemeClr w14:val="tx1"/>
            </w14:solidFill>
          </w14:textFill>
        </w:rPr>
      </w:pPr>
    </w:p>
    <w:p>
      <w:pPr>
        <w:widowControl/>
        <w:tabs>
          <w:tab w:val="left" w:pos="7530"/>
        </w:tabs>
        <w:spacing w:afterLines="50"/>
        <w:rPr>
          <w:rFonts w:hint="eastAsia" w:ascii="宋体" w:hAnsi="宋体"/>
          <w:color w:val="000000" w:themeColor="text1"/>
          <w:sz w:val="44"/>
          <w:szCs w:val="44"/>
          <w:highlight w:val="none"/>
          <w:u w:val="single"/>
          <w14:textFill>
            <w14:solidFill>
              <w14:schemeClr w14:val="tx1"/>
            </w14:solidFill>
          </w14:textFill>
        </w:rPr>
      </w:pPr>
    </w:p>
    <w:p>
      <w:pPr>
        <w:widowControl/>
        <w:tabs>
          <w:tab w:val="left" w:pos="7530"/>
        </w:tabs>
        <w:spacing w:afterLines="50"/>
        <w:rPr>
          <w:rFonts w:hint="eastAsia" w:ascii="楷体" w:hAnsi="楷体" w:eastAsia="楷体" w:cs="宋体"/>
          <w:color w:val="000000" w:themeColor="text1"/>
          <w:kern w:val="0"/>
          <w:sz w:val="36"/>
          <w:szCs w:val="36"/>
          <w:highlight w:val="none"/>
          <w14:textFill>
            <w14:solidFill>
              <w14:schemeClr w14:val="tx1"/>
            </w14:solidFill>
          </w14:textFill>
        </w:rPr>
      </w:pPr>
      <w:r>
        <w:rPr>
          <w:rFonts w:hint="eastAsia" w:ascii="楷体" w:hAnsi="楷体" w:eastAsia="楷体" w:cs="宋体"/>
          <w:color w:val="000000" w:themeColor="text1"/>
          <w:kern w:val="0"/>
          <w:sz w:val="36"/>
          <w:szCs w:val="36"/>
          <w:highlight w:val="none"/>
          <w14:textFill>
            <w14:solidFill>
              <w14:schemeClr w14:val="tx1"/>
            </w14:solidFill>
          </w14:textFill>
        </w:rPr>
        <w:t xml:space="preserve">           签约时间：</w:t>
      </w:r>
      <w:r>
        <w:rPr>
          <w:rFonts w:hint="eastAsia" w:ascii="楷体" w:hAnsi="楷体" w:eastAsia="楷体" w:cs="宋体"/>
          <w:color w:val="000000" w:themeColor="text1"/>
          <w:kern w:val="0"/>
          <w:sz w:val="36"/>
          <w:szCs w:val="36"/>
          <w:highlight w:val="none"/>
          <w:u w:val="single"/>
          <w14:textFill>
            <w14:solidFill>
              <w14:schemeClr w14:val="tx1"/>
            </w14:solidFill>
          </w14:textFill>
        </w:rPr>
        <w:t xml:space="preserve">  2022年*月*日</w:t>
      </w:r>
    </w:p>
    <w:p>
      <w:pPr>
        <w:widowControl/>
        <w:tabs>
          <w:tab w:val="left" w:pos="7530"/>
        </w:tabs>
        <w:spacing w:afterLines="50"/>
        <w:rPr>
          <w:rFonts w:hint="eastAsia" w:ascii="楷体" w:hAnsi="楷体" w:eastAsia="楷体" w:cs="宋体"/>
          <w:color w:val="000000" w:themeColor="text1"/>
          <w:kern w:val="0"/>
          <w:sz w:val="36"/>
          <w:szCs w:val="36"/>
          <w:highlight w:val="none"/>
          <w:u w:val="single"/>
          <w14:textFill>
            <w14:solidFill>
              <w14:schemeClr w14:val="tx1"/>
            </w14:solidFill>
          </w14:textFill>
        </w:rPr>
      </w:pPr>
      <w:r>
        <w:rPr>
          <w:rFonts w:hint="eastAsia" w:ascii="楷体" w:hAnsi="楷体" w:eastAsia="楷体" w:cs="宋体"/>
          <w:color w:val="000000" w:themeColor="text1"/>
          <w:kern w:val="0"/>
          <w:sz w:val="36"/>
          <w:szCs w:val="36"/>
          <w:highlight w:val="none"/>
          <w14:textFill>
            <w14:solidFill>
              <w14:schemeClr w14:val="tx1"/>
            </w14:solidFill>
          </w14:textFill>
        </w:rPr>
        <w:t xml:space="preserve">           签约地点：</w:t>
      </w:r>
      <w:r>
        <w:rPr>
          <w:rFonts w:hint="eastAsia" w:ascii="楷体" w:hAnsi="楷体" w:eastAsia="楷体" w:cs="宋体"/>
          <w:color w:val="000000" w:themeColor="text1"/>
          <w:kern w:val="0"/>
          <w:sz w:val="36"/>
          <w:szCs w:val="36"/>
          <w:highlight w:val="none"/>
          <w:u w:val="single"/>
          <w14:textFill>
            <w14:solidFill>
              <w14:schemeClr w14:val="tx1"/>
            </w14:solidFill>
          </w14:textFill>
        </w:rPr>
        <w:t xml:space="preserve">     南京        </w:t>
      </w: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rFonts w:hint="eastAsia"/>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pPr>
    </w:p>
    <w:p>
      <w:pPr>
        <w:widowControl/>
        <w:spacing w:afterLines="50" w:line="500" w:lineRule="exact"/>
        <w:jc w:val="left"/>
        <w:rPr>
          <w:rFonts w:ascii="宋体" w:hAnsi="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甲方：</w:t>
      </w:r>
      <w:r>
        <w:rPr>
          <w:rFonts w:hint="eastAsia" w:ascii="宋体" w:hAnsi="宋体" w:cs="宋体"/>
          <w:b/>
          <w:color w:val="000000" w:themeColor="text1"/>
          <w:kern w:val="0"/>
          <w:sz w:val="24"/>
          <w:highlight w:val="none"/>
          <w:u w:val="single"/>
          <w14:textFill>
            <w14:solidFill>
              <w14:schemeClr w14:val="tx1"/>
            </w14:solidFill>
          </w14:textFill>
        </w:rPr>
        <w:t xml:space="preserve">江苏煤炭地质物测队   </w:t>
      </w:r>
    </w:p>
    <w:p>
      <w:pPr>
        <w:widowControl/>
        <w:spacing w:afterLines="50" w:line="500" w:lineRule="exact"/>
        <w:jc w:val="left"/>
        <w:rPr>
          <w:rFonts w:hint="eastAsia" w:ascii="宋体" w:hAnsi="宋体" w:cs="宋体"/>
          <w:b/>
          <w:color w:val="000000" w:themeColor="text1"/>
          <w:kern w:val="0"/>
          <w:sz w:val="24"/>
          <w:highlight w:val="none"/>
          <w:u w:val="singl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乙方：</w:t>
      </w:r>
      <w:r>
        <w:rPr>
          <w:rFonts w:hint="eastAsia" w:ascii="宋体" w:hAnsi="宋体" w:cs="宋体"/>
          <w:b/>
          <w:color w:val="000000" w:themeColor="text1"/>
          <w:kern w:val="0"/>
          <w:sz w:val="24"/>
          <w:highlight w:val="none"/>
          <w:u w:val="single"/>
          <w14:textFill>
            <w14:solidFill>
              <w14:schemeClr w14:val="tx1"/>
            </w14:solidFill>
          </w14:textFill>
        </w:rPr>
        <w:t xml:space="preserve">                      </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根据《中华人民共和国民法典》、《中华人民共和国测绘法》等有关法律法规，本着公开、公平和择优的原则，就“高邮、宝应区域测绘及市政勘测劳务服务项目” 经甲、乙双方协商一致，签订本合同。</w:t>
      </w:r>
    </w:p>
    <w:p>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甲方联系人：</w:t>
      </w:r>
      <w:r>
        <w:rPr>
          <w:rFonts w:hint="eastAsia" w:ascii="宋体" w:hAnsi="宋体" w:cs="宋体"/>
          <w:color w:val="000000" w:themeColor="text1"/>
          <w:kern w:val="0"/>
          <w:sz w:val="24"/>
          <w:highlight w:val="none"/>
          <w:u w:val="single"/>
          <w14:textFill>
            <w14:solidFill>
              <w14:schemeClr w14:val="tx1"/>
            </w14:solidFill>
          </w14:textFill>
        </w:rPr>
        <w:t xml:space="preserve">景  军 </w:t>
      </w:r>
      <w:r>
        <w:rPr>
          <w:rFonts w:hint="eastAsia" w:ascii="宋体" w:hAnsi="宋体" w:cs="宋体"/>
          <w:color w:val="000000" w:themeColor="text1"/>
          <w:kern w:val="0"/>
          <w:sz w:val="24"/>
          <w:highlight w:val="none"/>
          <w14:textFill>
            <w14:solidFill>
              <w14:schemeClr w14:val="tx1"/>
            </w14:solidFill>
          </w14:textFill>
        </w:rPr>
        <w:t xml:space="preserve">   电话:</w:t>
      </w:r>
      <w:r>
        <w:rPr>
          <w:rFonts w:hint="eastAsia" w:ascii="宋体" w:hAnsi="宋体" w:cs="宋体"/>
          <w:color w:val="000000" w:themeColor="text1"/>
          <w:kern w:val="0"/>
          <w:sz w:val="24"/>
          <w:highlight w:val="none"/>
          <w:u w:val="single"/>
          <w14:textFill>
            <w14:solidFill>
              <w14:schemeClr w14:val="tx1"/>
            </w14:solidFill>
          </w14:textFill>
        </w:rPr>
        <w:t xml:space="preserve"> 025-85578522</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乙方联系人：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电话:</w:t>
      </w:r>
      <w:r>
        <w:rPr>
          <w:rFonts w:hint="eastAsia" w:ascii="宋体" w:hAnsi="宋体" w:cs="宋体"/>
          <w:color w:val="000000" w:themeColor="text1"/>
          <w:kern w:val="0"/>
          <w:sz w:val="24"/>
          <w:highlight w:val="none"/>
          <w:u w:val="single"/>
          <w14:textFill>
            <w14:solidFill>
              <w14:schemeClr w14:val="tx1"/>
            </w14:solidFill>
          </w14:textFill>
        </w:rPr>
        <w:t xml:space="preserve">             </w:t>
      </w:r>
    </w:p>
    <w:p>
      <w:pPr>
        <w:widowControl/>
        <w:numPr>
          <w:ilvl w:val="0"/>
          <w:numId w:val="8"/>
        </w:numPr>
        <w:spacing w:line="360" w:lineRule="auto"/>
        <w:ind w:left="0"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项目范围（包括地点、面积、地理位置等）</w:t>
      </w: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高邮市、宝应县行政区域范围内。</w:t>
      </w:r>
    </w:p>
    <w:p>
      <w:pPr>
        <w:widowControl/>
        <w:numPr>
          <w:ilvl w:val="0"/>
          <w:numId w:val="8"/>
        </w:numPr>
        <w:spacing w:line="360" w:lineRule="auto"/>
        <w:ind w:left="0"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服务内容和工作量</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对高邮、宝应2个区域内进行测绘及市政勘测服务。具体包括：受理、信息入库、房屋落宗、日常数据整合和维护、证书制作和登记档案整理归档、管线探测及市政施工等工作。</w:t>
      </w:r>
    </w:p>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为保证各个区域按时保质完成工作任务，</w:t>
      </w:r>
      <w:r>
        <w:rPr>
          <w:rFonts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本项目乙方投入人员不得少于70人。（高邮50人、宝应20人）</w:t>
      </w:r>
    </w:p>
    <w:p>
      <w:pPr>
        <w:spacing w:line="500" w:lineRule="exact"/>
        <w:ind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 xml:space="preserve">第三条  执行技术标准 </w:t>
      </w:r>
    </w:p>
    <w:tbl>
      <w:tblPr>
        <w:tblStyle w:val="34"/>
        <w:tblpPr w:leftFromText="180" w:rightFromText="180" w:vertAnchor="text" w:horzAnchor="margin" w:tblpX="250" w:tblpY="86"/>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1"/>
        <w:gridCol w:w="283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top w:val="single" w:color="auto" w:sz="12" w:space="0"/>
              <w:left w:val="single" w:color="auto" w:sz="12"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4111" w:type="dxa"/>
            <w:tcBorders>
              <w:top w:val="single" w:color="auto" w:sz="12"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标准名称</w:t>
            </w:r>
          </w:p>
        </w:tc>
        <w:tc>
          <w:tcPr>
            <w:tcW w:w="2835" w:type="dxa"/>
            <w:tcBorders>
              <w:top w:val="single" w:color="auto" w:sz="12"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标准代号</w:t>
            </w:r>
          </w:p>
        </w:tc>
        <w:tc>
          <w:tcPr>
            <w:tcW w:w="1275" w:type="dxa"/>
            <w:tcBorders>
              <w:top w:val="single" w:color="auto" w:sz="12" w:space="0"/>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111" w:type="dxa"/>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《城市测量规范》</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（CJJ8-2011）</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4111" w:type="dxa"/>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《卫星定位城市测量规范》</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（CJJ/T73-2010）</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4111" w:type="dxa"/>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《RTK-GNSS测量技术规程》</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（SB-JS03-2009）</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111" w:type="dxa"/>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1:500  1:1000  1:2000外业数字测图技术规程</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GB/14912-1005</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4111" w:type="dxa"/>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500、1</w:t>
            </w:r>
            <w:r>
              <w:rPr>
                <w:rFonts w:hint="eastAsia"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1000、1</w:t>
            </w:r>
            <w:r>
              <w:rPr>
                <w:rFonts w:hint="eastAsia"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2000地形图图式》</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（GB/T20257.1～2007）</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4111" w:type="dxa"/>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500、1</w:t>
            </w:r>
            <w:r>
              <w:rPr>
                <w:rFonts w:hint="eastAsia"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1000、1</w:t>
            </w:r>
            <w:r>
              <w:rPr>
                <w:rFonts w:hint="eastAsia" w:ascii="宋体" w:hAnsi="宋体" w:cs="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2000外业数字测图技术规程》</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（GB/T14912～2005）</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tcBorders>
              <w:lef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4111" w:type="dxa"/>
          </w:tcPr>
          <w:p>
            <w:pPr>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《城市地下管线探测技术规程》</w:t>
            </w:r>
          </w:p>
        </w:tc>
        <w:tc>
          <w:tcPr>
            <w:tcW w:w="2835" w:type="dxa"/>
            <w:vAlign w:val="center"/>
          </w:tcPr>
          <w:p>
            <w:pPr>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（CJJ61-2003）</w:t>
            </w:r>
          </w:p>
        </w:tc>
        <w:tc>
          <w:tcPr>
            <w:tcW w:w="1275" w:type="dxa"/>
            <w:tcBorders>
              <w:right w:val="single" w:color="auto" w:sz="12" w:space="0"/>
            </w:tcBorders>
            <w:vAlign w:val="center"/>
          </w:tcPr>
          <w:p>
            <w:pPr>
              <w:jc w:val="center"/>
              <w:rPr>
                <w:rFonts w:hint="eastAsia" w:ascii="宋体" w:hAnsi="宋体"/>
                <w:color w:val="000000" w:themeColor="text1"/>
                <w:sz w:val="24"/>
                <w:highlight w:val="none"/>
                <w14:textFill>
                  <w14:solidFill>
                    <w14:schemeClr w14:val="tx1"/>
                  </w14:solidFill>
                </w14:textFill>
              </w:rPr>
            </w:pPr>
          </w:p>
        </w:tc>
      </w:tr>
    </w:tbl>
    <w:p>
      <w:pPr>
        <w:spacing w:line="500" w:lineRule="exact"/>
        <w:ind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第四条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测绘基准和主要技术指标</w:t>
      </w:r>
    </w:p>
    <w:p>
      <w:pPr>
        <w:spacing w:line="520" w:lineRule="exact"/>
        <w:ind w:firstLine="48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依据规范、规程、总体方案、技术设计书、招标文件、投标文件及</w:t>
      </w:r>
      <w:r>
        <w:rPr>
          <w:rFonts w:hint="eastAsia"/>
          <w:color w:val="000000" w:themeColor="text1"/>
          <w:sz w:val="24"/>
          <w:highlight w:val="none"/>
          <w:lang w:val="zh-CN"/>
          <w14:textFill>
            <w14:solidFill>
              <w14:schemeClr w14:val="tx1"/>
            </w14:solidFill>
          </w14:textFill>
        </w:rPr>
        <w:t>经过审核批准的本项目技术设计书与其他批复意见</w:t>
      </w:r>
      <w:r>
        <w:rPr>
          <w:rFonts w:hint="eastAsia"/>
          <w:color w:val="000000" w:themeColor="text1"/>
          <w:sz w:val="24"/>
          <w:highlight w:val="none"/>
          <w14:textFill>
            <w14:solidFill>
              <w14:schemeClr w14:val="tx1"/>
            </w14:solidFill>
          </w14:textFill>
        </w:rPr>
        <w:t>等</w:t>
      </w:r>
      <w:r>
        <w:rPr>
          <w:rFonts w:hint="eastAsia" w:ascii="宋体" w:hAnsi="宋体"/>
          <w:color w:val="000000" w:themeColor="text1"/>
          <w:sz w:val="24"/>
          <w:highlight w:val="none"/>
          <w14:textFill>
            <w14:solidFill>
              <w14:schemeClr w14:val="tx1"/>
            </w14:solidFill>
          </w14:textFill>
        </w:rPr>
        <w:t>。</w:t>
      </w:r>
    </w:p>
    <w:p>
      <w:pPr>
        <w:spacing w:line="500" w:lineRule="exact"/>
        <w:ind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第五条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测绘地理信息服务费</w:t>
      </w:r>
    </w:p>
    <w:tbl>
      <w:tblPr>
        <w:tblStyle w:val="3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42"/>
        <w:gridCol w:w="1785"/>
        <w:gridCol w:w="1843"/>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12" w:space="0"/>
              <w:left w:val="single" w:color="auto" w:sz="12" w:space="0"/>
            </w:tcBorders>
            <w:vAlign w:val="center"/>
          </w:tcPr>
          <w:p>
            <w:pPr>
              <w:spacing w:line="240" w:lineRule="atLeas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序号</w:t>
            </w:r>
          </w:p>
        </w:tc>
        <w:tc>
          <w:tcPr>
            <w:tcW w:w="2042" w:type="dxa"/>
            <w:tcBorders>
              <w:top w:val="single" w:color="auto" w:sz="12" w:space="0"/>
            </w:tcBorders>
            <w:vAlign w:val="center"/>
          </w:tcPr>
          <w:p>
            <w:pPr>
              <w:spacing w:line="240" w:lineRule="atLeas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tc>
        <w:tc>
          <w:tcPr>
            <w:tcW w:w="1785" w:type="dxa"/>
            <w:tcBorders>
              <w:top w:val="single" w:color="auto" w:sz="12" w:space="0"/>
            </w:tcBorders>
            <w:vAlign w:val="center"/>
          </w:tcPr>
          <w:p>
            <w:pPr>
              <w:spacing w:line="240" w:lineRule="atLeas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投入劳务人数</w:t>
            </w:r>
          </w:p>
        </w:tc>
        <w:tc>
          <w:tcPr>
            <w:tcW w:w="1843" w:type="dxa"/>
            <w:tcBorders>
              <w:top w:val="single" w:color="auto" w:sz="12" w:space="0"/>
            </w:tcBorders>
            <w:vAlign w:val="center"/>
          </w:tcPr>
          <w:p>
            <w:pPr>
              <w:spacing w:line="240" w:lineRule="atLeas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单价（</w:t>
            </w:r>
            <w:r>
              <w:rPr>
                <w:rFonts w:hint="eastAsia" w:ascii="宋体" w:hAnsi="宋体"/>
                <w:color w:val="000000" w:themeColor="text1"/>
                <w:sz w:val="24"/>
                <w:highlight w:val="none"/>
                <w14:textFill>
                  <w14:solidFill>
                    <w14:schemeClr w14:val="tx1"/>
                  </w14:solidFill>
                </w14:textFill>
              </w:rPr>
              <w:t>元/个</w:t>
            </w:r>
            <w:r>
              <w:rPr>
                <w:rFonts w:hint="eastAsia" w:ascii="宋体" w:hAnsi="宋体"/>
                <w:bCs/>
                <w:color w:val="000000" w:themeColor="text1"/>
                <w:sz w:val="24"/>
                <w:highlight w:val="none"/>
                <w14:textFill>
                  <w14:solidFill>
                    <w14:schemeClr w14:val="tx1"/>
                  </w14:solidFill>
                </w14:textFill>
              </w:rPr>
              <w:t>）</w:t>
            </w:r>
          </w:p>
        </w:tc>
        <w:tc>
          <w:tcPr>
            <w:tcW w:w="1418" w:type="dxa"/>
            <w:tcBorders>
              <w:top w:val="single" w:color="auto" w:sz="12" w:space="0"/>
              <w:right w:val="single" w:color="auto" w:sz="4" w:space="0"/>
            </w:tcBorders>
            <w:vAlign w:val="center"/>
          </w:tcPr>
          <w:p>
            <w:pPr>
              <w:spacing w:line="240" w:lineRule="atLeas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合计（元）</w:t>
            </w:r>
          </w:p>
        </w:tc>
        <w:tc>
          <w:tcPr>
            <w:tcW w:w="1275" w:type="dxa"/>
            <w:tcBorders>
              <w:top w:val="single" w:color="auto" w:sz="12" w:space="0"/>
              <w:left w:val="single" w:color="auto" w:sz="4" w:space="0"/>
              <w:right w:val="single" w:color="auto" w:sz="12" w:space="0"/>
            </w:tcBorders>
            <w:vAlign w:val="center"/>
          </w:tcPr>
          <w:p>
            <w:pPr>
              <w:spacing w:line="240" w:lineRule="atLeast"/>
              <w:jc w:val="center"/>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left w:val="single" w:color="auto" w:sz="12" w:space="0"/>
            </w:tcBorders>
            <w:vAlign w:val="center"/>
          </w:tcPr>
          <w:p>
            <w:pPr>
              <w:spacing w:line="240" w:lineRule="atLeast"/>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p>
        </w:tc>
        <w:tc>
          <w:tcPr>
            <w:tcW w:w="2042"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测绘及市政勘测</w:t>
            </w:r>
          </w:p>
        </w:tc>
        <w:tc>
          <w:tcPr>
            <w:tcW w:w="1785"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70</w:t>
            </w:r>
          </w:p>
        </w:tc>
        <w:tc>
          <w:tcPr>
            <w:tcW w:w="1843" w:type="dxa"/>
            <w:vAlign w:val="center"/>
          </w:tcPr>
          <w:p>
            <w:pPr>
              <w:jc w:val="center"/>
              <w:rPr>
                <w:rFonts w:ascii="宋体" w:hAnsi="宋体"/>
                <w:color w:val="000000" w:themeColor="text1"/>
                <w:sz w:val="24"/>
                <w:highlight w:val="none"/>
                <w14:textFill>
                  <w14:solidFill>
                    <w14:schemeClr w14:val="tx1"/>
                  </w14:solidFill>
                </w14:textFill>
              </w:rPr>
            </w:pPr>
          </w:p>
        </w:tc>
        <w:tc>
          <w:tcPr>
            <w:tcW w:w="1418" w:type="dxa"/>
            <w:tcBorders>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p>
        </w:tc>
        <w:tc>
          <w:tcPr>
            <w:tcW w:w="1275" w:type="dxa"/>
            <w:tcBorders>
              <w:left w:val="single" w:color="auto" w:sz="4" w:space="0"/>
              <w:right w:val="single" w:color="auto" w:sz="12" w:space="0"/>
            </w:tcBorders>
            <w:vAlign w:val="center"/>
          </w:tcPr>
          <w:p>
            <w:pPr>
              <w:spacing w:line="240" w:lineRule="atLeast"/>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6"/>
            <w:tcBorders>
              <w:left w:val="single" w:color="auto" w:sz="12" w:space="0"/>
              <w:bottom w:val="single" w:color="auto" w:sz="12" w:space="0"/>
              <w:right w:val="single" w:color="auto" w:sz="12" w:space="0"/>
            </w:tcBorders>
            <w:vAlign w:val="center"/>
          </w:tcPr>
          <w:p>
            <w:pPr>
              <w:spacing w:line="240" w:lineRule="atLeast"/>
              <w:jc w:val="right"/>
              <w:rPr>
                <w:rFonts w:hint="eastAsia" w:ascii="宋体" w:hAnsi="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预估含税总价：小写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人民币大写：</w:t>
            </w:r>
            <w:r>
              <w:rPr>
                <w:rFonts w:hint="eastAsia" w:ascii="宋体" w:hAnsi="宋体"/>
                <w:bCs/>
                <w:color w:val="000000" w:themeColor="text1"/>
                <w:sz w:val="24"/>
                <w:highlight w:val="none"/>
                <w14:textFill>
                  <w14:solidFill>
                    <w14:schemeClr w14:val="tx1"/>
                  </w14:solidFill>
                </w14:textFill>
              </w:rPr>
              <w:fldChar w:fldCharType="begin"/>
            </w:r>
            <w:r>
              <w:rPr>
                <w:rFonts w:hint="eastAsia" w:ascii="宋体" w:hAnsi="宋体"/>
                <w:bCs/>
                <w:color w:val="000000" w:themeColor="text1"/>
                <w:sz w:val="24"/>
                <w:highlight w:val="none"/>
                <w14:textFill>
                  <w14:solidFill>
                    <w14:schemeClr w14:val="tx1"/>
                  </w14:solidFill>
                </w14:textFill>
              </w:rPr>
              <w:instrText xml:space="preserve"> = 2038250 \* CHINESENUM4 \* MERGEFORMAT </w:instrText>
            </w:r>
            <w:r>
              <w:rPr>
                <w:rFonts w:hint="eastAsia" w:ascii="宋体" w:hAnsi="宋体"/>
                <w:bCs/>
                <w:color w:val="000000" w:themeColor="text1"/>
                <w:sz w:val="24"/>
                <w:highlight w:val="none"/>
                <w14:textFill>
                  <w14:solidFill>
                    <w14:schemeClr w14:val="tx1"/>
                  </w14:solidFill>
                </w14:textFill>
              </w:rPr>
              <w:fldChar w:fldCharType="separate"/>
            </w:r>
            <w:r>
              <w:rPr>
                <w:rFonts w:hint="eastAsia" w:ascii="宋体" w:hAnsi="宋体"/>
                <w:bCs/>
                <w:color w:val="000000" w:themeColor="text1"/>
                <w:sz w:val="24"/>
                <w:highlight w:val="none"/>
                <w14:textFill>
                  <w14:solidFill>
                    <w14:schemeClr w14:val="tx1"/>
                  </w14:solidFill>
                </w14:textFill>
              </w:rPr>
              <w:t>圆整</w:t>
            </w:r>
            <w:r>
              <w:rPr>
                <w:rFonts w:hint="eastAsia" w:ascii="宋体" w:hAnsi="宋体"/>
                <w:bCs/>
                <w:color w:val="000000" w:themeColor="text1"/>
                <w:sz w:val="24"/>
                <w:highlight w:val="none"/>
                <w14:textFill>
                  <w14:solidFill>
                    <w14:schemeClr w14:val="tx1"/>
                  </w14:solidFill>
                </w14:textFill>
              </w:rPr>
              <w:fldChar w:fldCharType="end"/>
            </w:r>
          </w:p>
        </w:tc>
      </w:tr>
    </w:tbl>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本项目包含人员工资、差旅、辅助性仪器设备、相关耗材等费用。</w:t>
      </w:r>
    </w:p>
    <w:p>
      <w:pPr>
        <w:spacing w:line="500" w:lineRule="exact"/>
        <w:ind w:firstLine="480" w:firstLineChars="200"/>
        <w:rPr>
          <w:rFonts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第六条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甲方权利和义务</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6.1 自合同签订之日起</w:t>
      </w:r>
      <w:r>
        <w:rPr>
          <w:rFonts w:hint="eastAsia" w:ascii="宋体" w:hAnsi="宋体" w:cs="宋体"/>
          <w:color w:val="000000" w:themeColor="text1"/>
          <w:kern w:val="0"/>
          <w:sz w:val="24"/>
          <w:highlight w:val="none"/>
          <w:u w:val="single"/>
          <w14:textFill>
            <w14:solidFill>
              <w14:schemeClr w14:val="tx1"/>
            </w14:solidFill>
          </w14:textFill>
        </w:rPr>
        <w:t xml:space="preserve"> 5 </w:t>
      </w:r>
      <w:r>
        <w:rPr>
          <w:rFonts w:hint="eastAsia" w:ascii="宋体" w:hAnsi="宋体" w:cs="宋体"/>
          <w:color w:val="000000" w:themeColor="text1"/>
          <w:kern w:val="0"/>
          <w:sz w:val="24"/>
          <w:highlight w:val="none"/>
          <w14:textFill>
            <w14:solidFill>
              <w14:schemeClr w14:val="tx1"/>
            </w14:solidFill>
          </w14:textFill>
        </w:rPr>
        <w:t>日内向乙方提供本项目相关资料；</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6.2 甲方负责与项目的业主方进行沟通、协调；</w:t>
      </w:r>
    </w:p>
    <w:p>
      <w:pPr>
        <w:spacing w:line="500" w:lineRule="exact"/>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6.3 甲方享有乙方所承担项目的所有数据及成果，且该项目的全部知识产权归甲方所有；</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6.4 </w:t>
      </w:r>
      <w:r>
        <w:rPr>
          <w:rFonts w:hint="eastAsia" w:ascii="宋体" w:hAnsi="宋体"/>
          <w:color w:val="000000" w:themeColor="text1"/>
          <w:sz w:val="24"/>
          <w:highlight w:val="none"/>
          <w14:textFill>
            <w14:solidFill>
              <w14:schemeClr w14:val="tx1"/>
            </w14:solidFill>
          </w14:textFill>
        </w:rPr>
        <w:t>甲方有权对乙方的所有工作进行监督和检查，有权对乙方的违章行为进行</w:t>
      </w:r>
      <w:r>
        <w:rPr>
          <w:rFonts w:hint="eastAsia" w:ascii="宋体" w:hAnsi="宋体" w:cs="宋体"/>
          <w:color w:val="000000" w:themeColor="text1"/>
          <w:kern w:val="0"/>
          <w:sz w:val="24"/>
          <w:highlight w:val="none"/>
          <w14:textFill>
            <w14:solidFill>
              <w14:schemeClr w14:val="tx1"/>
            </w14:solidFill>
          </w14:textFill>
        </w:rPr>
        <w:t>处罚；</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6.5 甲方有监督乙方做好安全生产、保密管理的权利。对乙方施工过程中的安全生产工作进行检查，对乙方不符合安全文明施工的行为进行制止、纠正并发出安全整改通知书。乙方拒不服从甲方管理的，甲方有权终止本合同。合同终止时，除已完成的工作按第五款计费外，甲方不补偿乙方其他任何费用。</w:t>
      </w:r>
    </w:p>
    <w:p>
      <w:pPr>
        <w:spacing w:line="500" w:lineRule="exact"/>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第七条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乙方权利和义务</w:t>
      </w:r>
    </w:p>
    <w:p>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 xml:space="preserve"> 乙方应在本合同签订之日起</w:t>
      </w:r>
      <w:r>
        <w:rPr>
          <w:rFonts w:hint="eastAsia" w:ascii="宋体" w:hAnsi="宋体" w:cs="宋体"/>
          <w:color w:val="000000" w:themeColor="text1"/>
          <w:kern w:val="0"/>
          <w:sz w:val="24"/>
          <w:highlight w:val="none"/>
          <w:u w:val="single"/>
          <w14:textFill>
            <w14:solidFill>
              <w14:schemeClr w14:val="tx1"/>
            </w14:solidFill>
          </w14:textFill>
        </w:rPr>
        <w:t xml:space="preserve">  7 </w:t>
      </w:r>
      <w:r>
        <w:rPr>
          <w:rFonts w:hint="eastAsia" w:ascii="宋体" w:hAnsi="宋体" w:cs="宋体"/>
          <w:color w:val="000000" w:themeColor="text1"/>
          <w:kern w:val="0"/>
          <w:sz w:val="24"/>
          <w:highlight w:val="none"/>
          <w14:textFill>
            <w14:solidFill>
              <w14:schemeClr w14:val="tx1"/>
            </w14:solidFill>
          </w14:textFill>
        </w:rPr>
        <w:t xml:space="preserve">日内，依据甲方提供的有关资料和本合同的相关技术要求提交本项目的实施方案，根据甲方审核意见进行修改和反馈，直至满足要求； </w:t>
      </w:r>
    </w:p>
    <w:p>
      <w:pPr>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 乙方应在收到甲方通知之日起</w:t>
      </w:r>
      <w:r>
        <w:rPr>
          <w:rFonts w:hint="eastAsia" w:ascii="宋体" w:hAnsi="宋体" w:cs="宋体"/>
          <w:color w:val="000000" w:themeColor="text1"/>
          <w:kern w:val="0"/>
          <w:sz w:val="24"/>
          <w:highlight w:val="none"/>
          <w:u w:val="single"/>
          <w14:textFill>
            <w14:solidFill>
              <w14:schemeClr w14:val="tx1"/>
            </w14:solidFill>
          </w14:textFill>
        </w:rPr>
        <w:t xml:space="preserve">  5 </w:t>
      </w:r>
      <w:r>
        <w:rPr>
          <w:rFonts w:hint="eastAsia" w:ascii="宋体" w:hAnsi="宋体" w:cs="宋体"/>
          <w:color w:val="000000" w:themeColor="text1"/>
          <w:kern w:val="0"/>
          <w:sz w:val="24"/>
          <w:highlight w:val="none"/>
          <w14:textFill>
            <w14:solidFill>
              <w14:schemeClr w14:val="tx1"/>
            </w14:solidFill>
          </w14:textFill>
        </w:rPr>
        <w:t>日内，确定本项目负责人（姓名：      电话:    ）及其他人员、设备、安全生产的相关措施等资料报送甲方审核、备案，经甲方确认后</w:t>
      </w:r>
      <w:r>
        <w:rPr>
          <w:rFonts w:hint="eastAsia" w:ascii="宋体" w:hAnsi="宋体" w:cs="宋体"/>
          <w:color w:val="000000" w:themeColor="text1"/>
          <w:kern w:val="0"/>
          <w:sz w:val="24"/>
          <w:highlight w:val="none"/>
          <w:u w:val="single"/>
          <w14:textFill>
            <w14:solidFill>
              <w14:schemeClr w14:val="tx1"/>
            </w14:solidFill>
          </w14:textFill>
        </w:rPr>
        <w:t xml:space="preserve">  5  </w:t>
      </w:r>
      <w:r>
        <w:rPr>
          <w:rFonts w:hint="eastAsia" w:ascii="宋体" w:hAnsi="宋体" w:cs="宋体"/>
          <w:color w:val="000000" w:themeColor="text1"/>
          <w:kern w:val="0"/>
          <w:sz w:val="24"/>
          <w:highlight w:val="none"/>
          <w14:textFill>
            <w14:solidFill>
              <w14:schemeClr w14:val="tx1"/>
            </w14:solidFill>
          </w14:textFill>
        </w:rPr>
        <w:t>日内组织人员入驻作业现场；</w:t>
      </w:r>
      <w:r>
        <w:rPr>
          <w:rFonts w:ascii="宋体" w:hAnsi="宋体" w:cs="宋体"/>
          <w:color w:val="000000" w:themeColor="text1"/>
          <w:kern w:val="0"/>
          <w:sz w:val="24"/>
          <w:highlight w:val="none"/>
          <w14:textFill>
            <w14:solidFill>
              <w14:schemeClr w14:val="tx1"/>
            </w14:solidFill>
          </w14:textFill>
        </w:rPr>
        <w:t xml:space="preserve"> </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 乙方应当根据甲方审核通过后的实施方案，在合同约定的时间内保质保量完成作业任务；</w:t>
      </w:r>
      <w:r>
        <w:rPr>
          <w:rFonts w:ascii="宋体" w:hAnsi="宋体" w:cs="宋体"/>
          <w:color w:val="000000" w:themeColor="text1"/>
          <w:kern w:val="0"/>
          <w:sz w:val="24"/>
          <w:highlight w:val="none"/>
          <w14:textFill>
            <w14:solidFill>
              <w14:schemeClr w14:val="tx1"/>
            </w14:solidFill>
          </w14:textFill>
        </w:rPr>
        <w:t xml:space="preserve"> </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 乙方须服从甲方现场项目负责人的管理和工作安排；配合甲方完成业主方要求的工作。</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7.5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"http://www.so.com/s?q=%E7%94%9F%E4%BA%A7%E7%BB%8F%E8%90%A5%E5%8D%95%E4%BD%8D&amp;ie=utf-8&amp;src=internal_wenda_recommend_textn"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乙方</w:t>
      </w:r>
      <w:r>
        <w:rPr>
          <w:rFonts w:hint="eastAsia" w:ascii="宋体" w:hAnsi="宋体" w:cs="宋体"/>
          <w:color w:val="000000" w:themeColor="text1"/>
          <w:kern w:val="0"/>
          <w:sz w:val="24"/>
          <w:highlight w:val="none"/>
          <w14:textFill>
            <w14:solidFill>
              <w14:schemeClr w14:val="tx1"/>
            </w14:solidFill>
          </w14:textFill>
        </w:rPr>
        <w:fldChar w:fldCharType="end"/>
      </w:r>
      <w:r>
        <w:rPr>
          <w:rFonts w:ascii="宋体" w:hAnsi="宋体" w:cs="宋体"/>
          <w:color w:val="000000" w:themeColor="text1"/>
          <w:kern w:val="0"/>
          <w:sz w:val="24"/>
          <w:highlight w:val="none"/>
          <w14:textFill>
            <w14:solidFill>
              <w14:schemeClr w14:val="tx1"/>
            </w14:solidFill>
          </w14:textFill>
        </w:rPr>
        <w:t>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"http://www.so.com/s?q=%E5%AE%89%E5%85%A8%E7%94%9F%E4%BA%A7&amp;ie=utf-8&amp;src=internal_wenda_recommend_textn" \t "_blank" </w:instrText>
      </w:r>
      <w:r>
        <w:rPr>
          <w:color w:val="000000" w:themeColor="text1"/>
          <w:highlight w:val="none"/>
          <w14:textFill>
            <w14:solidFill>
              <w14:schemeClr w14:val="tx1"/>
            </w14:solidFill>
          </w14:textFill>
        </w:rPr>
        <w:fldChar w:fldCharType="separate"/>
      </w:r>
      <w:r>
        <w:rPr>
          <w:rFonts w:ascii="宋体" w:hAnsi="宋体" w:cs="宋体"/>
          <w:color w:val="000000" w:themeColor="text1"/>
          <w:kern w:val="0"/>
          <w:sz w:val="24"/>
          <w:highlight w:val="none"/>
          <w14:textFill>
            <w14:solidFill>
              <w14:schemeClr w14:val="tx1"/>
            </w14:solidFill>
          </w14:textFill>
        </w:rPr>
        <w:t>安全生产</w:t>
      </w:r>
      <w:r>
        <w:rPr>
          <w:rFonts w:ascii="宋体" w:hAnsi="宋体" w:cs="宋体"/>
          <w:color w:val="000000" w:themeColor="text1"/>
          <w:kern w:val="0"/>
          <w:sz w:val="24"/>
          <w:highlight w:val="none"/>
          <w14:textFill>
            <w14:solidFill>
              <w14:schemeClr w14:val="tx1"/>
            </w14:solidFill>
          </w14:textFill>
        </w:rPr>
        <w:fldChar w:fldCharType="end"/>
      </w:r>
      <w:r>
        <w:rPr>
          <w:rFonts w:ascii="宋体" w:hAnsi="宋体" w:cs="宋体"/>
          <w:color w:val="000000" w:themeColor="text1"/>
          <w:kern w:val="0"/>
          <w:sz w:val="24"/>
          <w:highlight w:val="none"/>
          <w14:textFill>
            <w14:solidFill>
              <w14:schemeClr w14:val="tx1"/>
            </w14:solidFill>
          </w14:textFill>
        </w:rPr>
        <w:t>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"http://www.so.com/s?q=%E8%B4%A3%E4%BB%BB%E4%B8%BB%E4%BD%93&amp;ie=utf-8&amp;src=internal_wenda_recommend_textn" \t "_blank" </w:instrText>
      </w:r>
      <w:r>
        <w:rPr>
          <w:color w:val="000000" w:themeColor="text1"/>
          <w:highlight w:val="none"/>
          <w14:textFill>
            <w14:solidFill>
              <w14:schemeClr w14:val="tx1"/>
            </w14:solidFill>
          </w14:textFill>
        </w:rPr>
        <w:fldChar w:fldCharType="separate"/>
      </w:r>
      <w:r>
        <w:rPr>
          <w:rFonts w:ascii="宋体" w:hAnsi="宋体" w:cs="宋体"/>
          <w:color w:val="000000" w:themeColor="text1"/>
          <w:kern w:val="0"/>
          <w:sz w:val="24"/>
          <w:highlight w:val="none"/>
          <w14:textFill>
            <w14:solidFill>
              <w14:schemeClr w14:val="tx1"/>
            </w14:solidFill>
          </w14:textFill>
        </w:rPr>
        <w:t>责任主体</w:t>
      </w:r>
      <w:r>
        <w:rPr>
          <w:rFonts w:ascii="宋体" w:hAnsi="宋体" w:cs="宋体"/>
          <w:color w:val="000000" w:themeColor="text1"/>
          <w:kern w:val="0"/>
          <w:sz w:val="24"/>
          <w:highlight w:val="none"/>
          <w14:textFill>
            <w14:solidFill>
              <w14:schemeClr w14:val="tx1"/>
            </w14:solidFill>
          </w14:textFill>
        </w:rPr>
        <w:fldChar w:fldCharType="end"/>
      </w:r>
      <w:r>
        <w:rPr>
          <w:rFonts w:ascii="宋体" w:hAnsi="宋体" w:cs="宋体"/>
          <w:color w:val="000000" w:themeColor="text1"/>
          <w:kern w:val="0"/>
          <w:sz w:val="24"/>
          <w:highlight w:val="none"/>
          <w14:textFill>
            <w14:solidFill>
              <w14:schemeClr w14:val="tx1"/>
            </w14:solidFill>
          </w14:textFill>
        </w:rPr>
        <w:t>，应当对本</w:t>
      </w:r>
      <w:r>
        <w:rPr>
          <w:rFonts w:hint="eastAsia" w:ascii="宋体" w:hAnsi="宋体" w:cs="宋体"/>
          <w:color w:val="000000" w:themeColor="text1"/>
          <w:kern w:val="0"/>
          <w:sz w:val="24"/>
          <w:highlight w:val="none"/>
          <w14:textFill>
            <w14:solidFill>
              <w14:schemeClr w14:val="tx1"/>
            </w14:solidFill>
          </w14:textFill>
        </w:rPr>
        <w:t>合同范围内的</w:t>
      </w:r>
      <w:r>
        <w:rPr>
          <w:rFonts w:ascii="宋体" w:hAnsi="宋体" w:cs="宋体"/>
          <w:color w:val="000000" w:themeColor="text1"/>
          <w:kern w:val="0"/>
          <w:sz w:val="24"/>
          <w:highlight w:val="none"/>
          <w14:textFill>
            <w14:solidFill>
              <w14:schemeClr w14:val="tx1"/>
            </w14:solidFill>
          </w14:textFill>
        </w:rPr>
        <w:t>安全生产承担</w:t>
      </w:r>
      <w:r>
        <w:rPr>
          <w:rFonts w:hint="eastAsia" w:ascii="宋体" w:hAnsi="宋体" w:cs="宋体"/>
          <w:color w:val="000000" w:themeColor="text1"/>
          <w:kern w:val="0"/>
          <w:sz w:val="24"/>
          <w:highlight w:val="none"/>
          <w14:textFill>
            <w14:solidFill>
              <w14:schemeClr w14:val="tx1"/>
            </w14:solidFill>
          </w14:textFill>
        </w:rPr>
        <w:t>主体和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"http://www.so.com/s?q=%E4%B8%BB%E4%BD%93%E8%B4%A3%E4%BB%BB&amp;ie=utf-8&amp;src=internal_wenda_recommend_textn" \t "_blank"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直接</w:t>
      </w:r>
      <w:r>
        <w:rPr>
          <w:rFonts w:ascii="宋体" w:hAnsi="宋体" w:cs="宋体"/>
          <w:color w:val="000000" w:themeColor="text1"/>
          <w:kern w:val="0"/>
          <w:sz w:val="24"/>
          <w:highlight w:val="none"/>
          <w14:textFill>
            <w14:solidFill>
              <w14:schemeClr w14:val="tx1"/>
            </w14:solidFill>
          </w14:textFill>
        </w:rPr>
        <w:t>责任</w:t>
      </w:r>
      <w:r>
        <w:rPr>
          <w:rFonts w:ascii="宋体" w:hAnsi="宋体" w:cs="宋体"/>
          <w:color w:val="000000" w:themeColor="text1"/>
          <w:kern w:val="0"/>
          <w:sz w:val="24"/>
          <w:highlight w:val="none"/>
          <w14:textFill>
            <w14:solidFill>
              <w14:schemeClr w14:val="tx1"/>
            </w14:solidFill>
          </w14:textFill>
        </w:rPr>
        <w:fldChar w:fldCharType="end"/>
      </w:r>
      <w:r>
        <w:rPr>
          <w:rFonts w:ascii="宋体" w:hAnsi="宋体" w:cs="宋体"/>
          <w:color w:val="000000" w:themeColor="text1"/>
          <w:kern w:val="0"/>
          <w:sz w:val="24"/>
          <w:highlight w:val="none"/>
          <w14:textFill>
            <w14:solidFill>
              <w14:schemeClr w14:val="tx1"/>
            </w14:solidFill>
          </w14:textFill>
        </w:rPr>
        <w:t>，并对</w:t>
      </w:r>
      <w:r>
        <w:rPr>
          <w:rFonts w:hint="eastAsia" w:ascii="宋体" w:hAnsi="宋体" w:cs="宋体"/>
          <w:color w:val="000000" w:themeColor="text1"/>
          <w:kern w:val="0"/>
          <w:sz w:val="24"/>
          <w:highlight w:val="none"/>
          <w14:textFill>
            <w14:solidFill>
              <w14:schemeClr w14:val="tx1"/>
            </w14:solidFill>
          </w14:textFill>
        </w:rPr>
        <w:t>发生安全后果负全责,</w:t>
      </w:r>
      <w:r>
        <w:rPr>
          <w:rFonts w:hint="eastAsia" w:ascii="宋体" w:hAnsi="宋体"/>
          <w:color w:val="000000" w:themeColor="text1"/>
          <w:sz w:val="24"/>
          <w:highlight w:val="none"/>
          <w14:textFill>
            <w14:solidFill>
              <w14:schemeClr w14:val="tx1"/>
            </w14:solidFill>
          </w14:textFill>
        </w:rPr>
        <w:t>乙方必须为现场从事作业人员投保工伤保险和意外伤害险或购买雇主责任险，费用均由乙方承担</w:t>
      </w:r>
      <w:r>
        <w:rPr>
          <w:rFonts w:hint="eastAsia" w:ascii="宋体" w:hAnsi="宋体" w:cs="宋体"/>
          <w:color w:val="000000" w:themeColor="text1"/>
          <w:kern w:val="0"/>
          <w:sz w:val="24"/>
          <w:highlight w:val="none"/>
          <w14:textFill>
            <w14:solidFill>
              <w14:schemeClr w14:val="tx1"/>
            </w14:solidFill>
          </w14:textFill>
        </w:rPr>
        <w:t>；</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7.6 乙方施工前应与甲方签订施工安全协议书。必须按照施工安全协议的要求对施工人员进行施工前安全技术交底和安全生产教育，做好施工现场危险源辨识和隐患排查治理等各项安全工作；  </w:t>
      </w:r>
    </w:p>
    <w:p>
      <w:pPr>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7.7 乙方提供</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 xml:space="preserve">年的免费质量服务期，服务期自项目最终验收合格之日起算；                                                                                                                                                                                                                                                                                                                                                                                                                                                                                                                                                                                                                                                                                                                                                                                                                                                                                                                                                                                                                                                                                                                                    </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7.8 严禁乙方将本项目转包或分包；</w:t>
      </w:r>
      <w:r>
        <w:rPr>
          <w:rFonts w:ascii="宋体" w:hAnsi="宋体" w:cs="宋体"/>
          <w:color w:val="000000" w:themeColor="text1"/>
          <w:kern w:val="0"/>
          <w:sz w:val="24"/>
          <w:highlight w:val="none"/>
          <w14:textFill>
            <w14:solidFill>
              <w14:schemeClr w14:val="tx1"/>
            </w14:solidFill>
          </w14:textFill>
        </w:rPr>
        <w:t xml:space="preserve"> </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7.9 乙方应足额发放其公司所有职工工资，因此产生的劳资纠纷与甲方无关，如由于乙方原因影响工期，甲方保留对乙方进行经济惩罚的权利。</w:t>
      </w:r>
    </w:p>
    <w:p>
      <w:pPr>
        <w:spacing w:line="500" w:lineRule="exact"/>
        <w:ind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第八条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项目工期</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自合同签定之日一年内完成全部工作</w:t>
      </w:r>
      <w:r>
        <w:rPr>
          <w:rFonts w:hint="eastAsia" w:ascii="宋体" w:hAnsi="宋体" w:cs="宋体"/>
          <w:color w:val="000000" w:themeColor="text1"/>
          <w:kern w:val="0"/>
          <w:sz w:val="24"/>
          <w:highlight w:val="none"/>
          <w14:textFill>
            <w14:solidFill>
              <w14:schemeClr w14:val="tx1"/>
            </w14:solidFill>
          </w14:textFill>
        </w:rPr>
        <w:t>。</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第九条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项目</w:t>
      </w:r>
      <w:r>
        <w:rPr>
          <w:rFonts w:ascii="黑体" w:hAnsi="黑体" w:eastAsia="黑体" w:cs="宋体"/>
          <w:color w:val="000000" w:themeColor="text1"/>
          <w:kern w:val="0"/>
          <w:sz w:val="24"/>
          <w:highlight w:val="none"/>
          <w14:textFill>
            <w14:solidFill>
              <w14:schemeClr w14:val="tx1"/>
            </w14:solidFill>
          </w14:textFill>
        </w:rPr>
        <w:t>验收及成果提交</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乙方在阶段性工作完成后，应在</w:t>
      </w:r>
      <w:r>
        <w:rPr>
          <w:rFonts w:hint="eastAsia" w:ascii="宋体" w:hAnsi="宋体" w:cs="宋体"/>
          <w:color w:val="000000" w:themeColor="text1"/>
          <w:kern w:val="0"/>
          <w:sz w:val="24"/>
          <w:highlight w:val="none"/>
          <w:u w:val="single"/>
          <w14:textFill>
            <w14:solidFill>
              <w14:schemeClr w14:val="tx1"/>
            </w14:solidFill>
          </w14:textFill>
        </w:rPr>
        <w:t xml:space="preserve">  7 </w:t>
      </w:r>
      <w:r>
        <w:rPr>
          <w:rFonts w:hint="eastAsia" w:ascii="宋体" w:hAnsi="宋体" w:cs="宋体"/>
          <w:color w:val="000000" w:themeColor="text1"/>
          <w:kern w:val="0"/>
          <w:sz w:val="24"/>
          <w:highlight w:val="none"/>
          <w14:textFill>
            <w14:solidFill>
              <w14:schemeClr w14:val="tx1"/>
            </w14:solidFill>
          </w14:textFill>
        </w:rPr>
        <w:t>日内向甲方报送成果资料，接受甲方验收，项目全部完工后，应在</w:t>
      </w:r>
      <w:r>
        <w:rPr>
          <w:rFonts w:hint="eastAsia" w:ascii="宋体" w:hAnsi="宋体" w:cs="宋体"/>
          <w:color w:val="000000" w:themeColor="text1"/>
          <w:kern w:val="0"/>
          <w:sz w:val="24"/>
          <w:highlight w:val="none"/>
          <w:u w:val="single"/>
          <w14:textFill>
            <w14:solidFill>
              <w14:schemeClr w14:val="tx1"/>
            </w14:solidFill>
          </w14:textFill>
        </w:rPr>
        <w:t xml:space="preserve"> 5</w:t>
      </w:r>
      <w:r>
        <w:rPr>
          <w:rFonts w:hint="eastAsia" w:ascii="宋体" w:hAnsi="宋体" w:cs="宋体"/>
          <w:color w:val="000000" w:themeColor="text1"/>
          <w:kern w:val="0"/>
          <w:sz w:val="24"/>
          <w:highlight w:val="none"/>
          <w14:textFill>
            <w14:solidFill>
              <w14:schemeClr w14:val="tx1"/>
            </w14:solidFill>
          </w14:textFill>
        </w:rPr>
        <w:t>日内书面通知甲方验收，甲方在接到乙方申请后，组织有关人员依据相关技术标准、技术设计书及本合同的约定，对乙方提交的项目成果进行验收，乙方应根据甲方的验收意见做好相关资料完善及工作整改，乙方应在收到甲方验收意见后</w:t>
      </w:r>
      <w:r>
        <w:rPr>
          <w:rFonts w:hint="eastAsia" w:ascii="宋体" w:hAnsi="宋体" w:cs="宋体"/>
          <w:color w:val="000000" w:themeColor="text1"/>
          <w:kern w:val="0"/>
          <w:sz w:val="24"/>
          <w:highlight w:val="none"/>
          <w:u w:val="singl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日内提交最终成果。</w:t>
      </w:r>
    </w:p>
    <w:p>
      <w:pPr>
        <w:spacing w:line="500" w:lineRule="exact"/>
        <w:ind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第十条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费用支付</w:t>
      </w:r>
    </w:p>
    <w:p>
      <w:pPr>
        <w:spacing w:line="52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10.1根据每月完成合格的工作量据实结算；</w:t>
      </w:r>
    </w:p>
    <w:p>
      <w:pPr>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10.2付款节点，均以甲方收到工程款后的10日内，甲方根据收到的实际付款额</w:t>
      </w:r>
      <w:r>
        <w:rPr>
          <w:rFonts w:hint="eastAsia" w:ascii="宋体" w:hAnsi="宋体" w:cs="宋体"/>
          <w:color w:val="000000" w:themeColor="text1"/>
          <w:kern w:val="0"/>
          <w:sz w:val="24"/>
          <w:highlight w:val="none"/>
          <w14:textFill>
            <w14:solidFill>
              <w14:schemeClr w14:val="tx1"/>
            </w14:solidFill>
          </w14:textFill>
        </w:rPr>
        <w:t>次月15日之前支付上月结算</w:t>
      </w:r>
      <w:r>
        <w:rPr>
          <w:rFonts w:hint="eastAsia" w:ascii="宋体" w:hAnsi="宋体" w:cs="宋体"/>
          <w:color w:val="000000" w:themeColor="text1"/>
          <w:kern w:val="0"/>
          <w:sz w:val="24"/>
          <w:highlight w:val="none"/>
          <w14:textFill>
            <w14:solidFill>
              <w14:schemeClr w14:val="tx1"/>
            </w14:solidFill>
          </w14:textFill>
        </w:rPr>
        <w:t>工程款，若甲方未收到工程款，乙方自愿放弃起诉甲方权利</w:t>
      </w:r>
      <w:r>
        <w:rPr>
          <w:rFonts w:hint="eastAsia" w:ascii="宋体" w:hAnsi="宋体" w:cs="宋体"/>
          <w:color w:val="000000" w:themeColor="text1"/>
          <w:kern w:val="0"/>
          <w:sz w:val="24"/>
          <w:highlight w:val="none"/>
          <w14:textFill>
            <w14:solidFill>
              <w14:schemeClr w14:val="tx1"/>
            </w14:solidFill>
          </w14:textFill>
        </w:rPr>
        <w:t>；</w:t>
      </w:r>
    </w:p>
    <w:p>
      <w:pPr>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10.3每次付款前，乙方需开具税率不低于</w:t>
      </w:r>
      <w:r>
        <w:rPr>
          <w:rFonts w:hint="eastAsia" w:ascii="宋体" w:hAnsi="宋体" w:cs="宋体"/>
          <w:color w:val="000000" w:themeColor="text1"/>
          <w:kern w:val="0"/>
          <w:sz w:val="24"/>
          <w:highlight w:val="none"/>
          <w:u w:val="single"/>
          <w14:textFill>
            <w14:solidFill>
              <w14:schemeClr w14:val="tx1"/>
            </w14:solidFill>
          </w14:textFill>
        </w:rPr>
        <w:t xml:space="preserve"> 6 </w:t>
      </w:r>
      <w:r>
        <w:rPr>
          <w:rFonts w:hint="eastAsia" w:ascii="宋体" w:hAnsi="宋体" w:cs="宋体"/>
          <w:color w:val="000000" w:themeColor="text1"/>
          <w:kern w:val="0"/>
          <w:sz w:val="24"/>
          <w:highlight w:val="none"/>
          <w14:textFill>
            <w14:solidFill>
              <w14:schemeClr w14:val="tx1"/>
            </w14:solidFill>
          </w14:textFill>
        </w:rPr>
        <w:t>%的增值税专用发票给甲方。</w:t>
      </w:r>
    </w:p>
    <w:p>
      <w:pPr>
        <w:widowControl/>
        <w:tabs>
          <w:tab w:val="left" w:pos="900"/>
        </w:tabs>
        <w:spacing w:line="500" w:lineRule="exact"/>
        <w:ind w:firstLine="480" w:firstLineChars="200"/>
        <w:rPr>
          <w:rFonts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第十一条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甲方违约责任</w:t>
      </w:r>
      <w:r>
        <w:rPr>
          <w:rFonts w:ascii="黑体" w:hAnsi="黑体" w:eastAsia="黑体" w:cs="宋体"/>
          <w:color w:val="000000" w:themeColor="text1"/>
          <w:kern w:val="0"/>
          <w:sz w:val="24"/>
          <w:highlight w:val="none"/>
          <w14:textFill>
            <w14:solidFill>
              <w14:schemeClr w14:val="tx1"/>
            </w14:solidFill>
          </w14:textFill>
        </w:rPr>
        <w:t xml:space="preserve"> </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合同签订后，乙方未进入现场工作前，由于甲方项目停止而致本合同解除的情况发生，甲方不赔偿乙方因合同解除所遭受的任何损失。</w:t>
      </w:r>
      <w:r>
        <w:rPr>
          <w:rFonts w:ascii="宋体" w:hAnsi="宋体" w:cs="宋体"/>
          <w:color w:val="000000" w:themeColor="text1"/>
          <w:kern w:val="0"/>
          <w:sz w:val="24"/>
          <w:highlight w:val="none"/>
          <w14:textFill>
            <w14:solidFill>
              <w14:schemeClr w14:val="tx1"/>
            </w14:solidFill>
          </w14:textFill>
        </w:rPr>
        <w:t xml:space="preserve"> </w:t>
      </w:r>
    </w:p>
    <w:p>
      <w:pPr>
        <w:widowControl/>
        <w:spacing w:line="500" w:lineRule="exact"/>
        <w:ind w:firstLine="480" w:firstLineChars="200"/>
        <w:rPr>
          <w:rFonts w:ascii="黑体" w:hAnsi="黑体" w:eastAsia="黑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第十二条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乙方违约责任</w:t>
      </w:r>
      <w:r>
        <w:rPr>
          <w:rFonts w:ascii="黑体" w:hAnsi="黑体" w:eastAsia="黑体" w:cs="宋体"/>
          <w:color w:val="000000" w:themeColor="text1"/>
          <w:kern w:val="0"/>
          <w:sz w:val="24"/>
          <w:highlight w:val="none"/>
          <w14:textFill>
            <w14:solidFill>
              <w14:schemeClr w14:val="tx1"/>
            </w14:solidFill>
          </w14:textFill>
        </w:rPr>
        <w:t xml:space="preserve"> </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 xml:space="preserve"> 合同签订后，如乙方擅自中途停止或解除合同，乙方向甲方缴纳的履约保证金甲方不予退还；没有履约保证金的，乙方向甲方赔偿本合同暂估总价款的</w:t>
      </w:r>
      <w:r>
        <w:rPr>
          <w:rFonts w:hint="eastAsia" w:ascii="宋体" w:hAnsi="宋体" w:cs="宋体"/>
          <w:color w:val="000000" w:themeColor="text1"/>
          <w:kern w:val="0"/>
          <w:sz w:val="24"/>
          <w:highlight w:val="none"/>
          <w:u w:val="single"/>
          <w14:textFill>
            <w14:solidFill>
              <w14:schemeClr w14:val="tx1"/>
            </w14:solidFill>
          </w14:textFill>
        </w:rPr>
        <w:t xml:space="preserve"> 30 </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作为赔偿金，如甲方已支付预付款的，应归还甲方的全部预付款并按利率</w:t>
      </w:r>
      <w:r>
        <w:rPr>
          <w:rFonts w:hint="eastAsia" w:ascii="宋体" w:hAnsi="宋体" w:cs="宋体"/>
          <w:color w:val="000000" w:themeColor="text1"/>
          <w:kern w:val="0"/>
          <w:sz w:val="24"/>
          <w:highlight w:val="none"/>
          <w:u w:val="single"/>
          <w14:textFill>
            <w14:solidFill>
              <w14:schemeClr w14:val="tx1"/>
            </w14:solidFill>
          </w14:textFill>
        </w:rPr>
        <w:t xml:space="preserve"> 6 </w:t>
      </w:r>
      <w:r>
        <w:rPr>
          <w:rFonts w:hint="eastAsia" w:ascii="宋体" w:hAnsi="宋体" w:cs="宋体"/>
          <w:color w:val="000000" w:themeColor="text1"/>
          <w:kern w:val="0"/>
          <w:sz w:val="24"/>
          <w:highlight w:val="none"/>
          <w14:textFill>
            <w14:solidFill>
              <w14:schemeClr w14:val="tx1"/>
            </w14:solidFill>
          </w14:textFill>
        </w:rPr>
        <w:t>%支付利息；</w:t>
      </w:r>
      <w:r>
        <w:rPr>
          <w:rFonts w:ascii="宋体" w:hAnsi="宋体" w:cs="宋体"/>
          <w:color w:val="000000" w:themeColor="text1"/>
          <w:kern w:val="0"/>
          <w:sz w:val="24"/>
          <w:highlight w:val="none"/>
          <w14:textFill>
            <w14:solidFill>
              <w14:schemeClr w14:val="tx1"/>
            </w14:solidFill>
          </w14:textFill>
        </w:rPr>
        <w:t xml:space="preserve"> </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 xml:space="preserve"> 在甲方提供了力所能及的工作条件，乙方未能按合同约定的日期提交测绘地理信息成果时，按照逾期未完成处理：</w:t>
      </w:r>
    </w:p>
    <w:p>
      <w:pPr>
        <w:widowControl/>
        <w:spacing w:line="500" w:lineRule="exact"/>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12.2.1 逾期在</w:t>
      </w:r>
      <w:r>
        <w:rPr>
          <w:rFonts w:hint="eastAsia" w:ascii="宋体" w:hAnsi="宋体" w:cs="宋体"/>
          <w:color w:val="000000" w:themeColor="text1"/>
          <w:kern w:val="0"/>
          <w:sz w:val="24"/>
          <w:highlight w:val="none"/>
          <w:u w:val="single"/>
          <w14:textFill>
            <w14:solidFill>
              <w14:schemeClr w14:val="tx1"/>
            </w14:solidFill>
          </w14:textFill>
        </w:rPr>
        <w:t xml:space="preserve"> 7 </w:t>
      </w:r>
      <w:r>
        <w:rPr>
          <w:rFonts w:hint="eastAsia" w:ascii="宋体" w:hAnsi="宋体" w:cs="宋体"/>
          <w:color w:val="000000" w:themeColor="text1"/>
          <w:kern w:val="0"/>
          <w:sz w:val="24"/>
          <w:highlight w:val="none"/>
          <w14:textFill>
            <w14:solidFill>
              <w14:schemeClr w14:val="tx1"/>
            </w14:solidFill>
          </w14:textFill>
        </w:rPr>
        <w:t>日内，乙方应向甲方赔偿逾期损失费，每天的逾期损失费按合同约定的暂估总价的千分之一计且不得低于</w:t>
      </w:r>
      <w:r>
        <w:rPr>
          <w:rFonts w:hint="eastAsia" w:ascii="宋体" w:hAnsi="宋体" w:cs="宋体"/>
          <w:color w:val="000000" w:themeColor="text1"/>
          <w:kern w:val="0"/>
          <w:sz w:val="24"/>
          <w:highlight w:val="none"/>
          <w:u w:val="single"/>
          <w14:textFill>
            <w14:solidFill>
              <w14:schemeClr w14:val="tx1"/>
            </w14:solidFill>
          </w14:textFill>
        </w:rPr>
        <w:t xml:space="preserve"> 3000  </w:t>
      </w:r>
      <w:r>
        <w:rPr>
          <w:rFonts w:hint="eastAsia" w:ascii="宋体" w:hAnsi="宋体" w:cs="宋体"/>
          <w:color w:val="000000" w:themeColor="text1"/>
          <w:kern w:val="0"/>
          <w:sz w:val="24"/>
          <w:highlight w:val="none"/>
          <w14:textFill>
            <w14:solidFill>
              <w14:schemeClr w14:val="tx1"/>
            </w14:solidFill>
          </w14:textFill>
        </w:rPr>
        <w:t>元/天，合同仍需继续履行；</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12.2.2 逾期超过</w:t>
      </w:r>
      <w:r>
        <w:rPr>
          <w:rFonts w:hint="eastAsia" w:ascii="宋体" w:hAnsi="宋体" w:cs="宋体"/>
          <w:color w:val="000000" w:themeColor="text1"/>
          <w:kern w:val="0"/>
          <w:sz w:val="24"/>
          <w:highlight w:val="none"/>
          <w:u w:val="single"/>
          <w14:textFill>
            <w14:solidFill>
              <w14:schemeClr w14:val="tx1"/>
            </w14:solidFill>
          </w14:textFill>
        </w:rPr>
        <w:t xml:space="preserve"> 15  </w:t>
      </w:r>
      <w:r>
        <w:rPr>
          <w:rFonts w:hint="eastAsia" w:ascii="宋体" w:hAnsi="宋体" w:cs="宋体"/>
          <w:color w:val="000000" w:themeColor="text1"/>
          <w:kern w:val="0"/>
          <w:sz w:val="24"/>
          <w:highlight w:val="none"/>
          <w14:textFill>
            <w14:solidFill>
              <w14:schemeClr w14:val="tx1"/>
            </w14:solidFill>
          </w14:textFill>
        </w:rPr>
        <w:t>日后，甲方有权解除合同，乙方按合同约定的暂估总价的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向甲方支付违约金；甲方愿意继续履行合同的，乙方应无条件服从，且需向甲方赔偿逾期损失费，每天的逾期损失费按合同约定的暂估服务总价的千分之一计且不得低于</w:t>
      </w:r>
      <w:r>
        <w:rPr>
          <w:rFonts w:hint="eastAsia" w:ascii="宋体" w:hAnsi="宋体" w:cs="宋体"/>
          <w:color w:val="000000" w:themeColor="text1"/>
          <w:kern w:val="0"/>
          <w:sz w:val="24"/>
          <w:highlight w:val="none"/>
          <w:u w:val="single"/>
          <w14:textFill>
            <w14:solidFill>
              <w14:schemeClr w14:val="tx1"/>
            </w14:solidFill>
          </w14:textFill>
        </w:rPr>
        <w:t xml:space="preserve">  5000 </w:t>
      </w:r>
      <w:r>
        <w:rPr>
          <w:rFonts w:hint="eastAsia" w:ascii="宋体" w:hAnsi="宋体" w:cs="宋体"/>
          <w:color w:val="000000" w:themeColor="text1"/>
          <w:kern w:val="0"/>
          <w:sz w:val="24"/>
          <w:highlight w:val="none"/>
          <w14:textFill>
            <w14:solidFill>
              <w14:schemeClr w14:val="tx1"/>
            </w14:solidFill>
          </w14:textFill>
        </w:rPr>
        <w:t>元/天；</w:t>
      </w:r>
    </w:p>
    <w:p>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乙方提交的项目成果质量不合格的，乙方应无偿予以限期整改，限期整改后检查不合格的，甲方有权对乙方进行合同额</w:t>
      </w:r>
      <w:r>
        <w:rPr>
          <w:rFonts w:hint="eastAsia" w:ascii="宋体" w:hAnsi="宋体" w:cs="宋体"/>
          <w:color w:val="000000" w:themeColor="text1"/>
          <w:kern w:val="0"/>
          <w:sz w:val="24"/>
          <w:highlight w:val="none"/>
          <w:u w:val="single"/>
          <w14:textFill>
            <w14:solidFill>
              <w14:schemeClr w14:val="tx1"/>
            </w14:solidFill>
          </w14:textFill>
        </w:rPr>
        <w:t xml:space="preserve"> 30 </w:t>
      </w:r>
      <w:r>
        <w:rPr>
          <w:rFonts w:hint="eastAsia" w:ascii="宋体" w:hAnsi="宋体" w:cs="宋体"/>
          <w:color w:val="000000" w:themeColor="text1"/>
          <w:kern w:val="0"/>
          <w:sz w:val="24"/>
          <w:highlight w:val="none"/>
          <w14:textFill>
            <w14:solidFill>
              <w14:schemeClr w14:val="tx1"/>
            </w14:solidFill>
          </w14:textFill>
        </w:rPr>
        <w:t>%质量惩罚并督促其无条件进行整改，再次检查不合格的甲方有权单方解除合同并要求乙方承担不低于合同额</w:t>
      </w:r>
      <w:r>
        <w:rPr>
          <w:rFonts w:hint="eastAsia" w:ascii="宋体" w:hAnsi="宋体" w:cs="宋体"/>
          <w:color w:val="000000" w:themeColor="text1"/>
          <w:kern w:val="0"/>
          <w:sz w:val="24"/>
          <w:highlight w:val="none"/>
          <w:u w:val="single"/>
          <w14:textFill>
            <w14:solidFill>
              <w14:schemeClr w14:val="tx1"/>
            </w14:solidFill>
          </w14:textFill>
        </w:rPr>
        <w:t xml:space="preserve"> 50 </w:t>
      </w:r>
      <w:r>
        <w:rPr>
          <w:rFonts w:hint="eastAsia" w:ascii="宋体" w:hAnsi="宋体" w:cs="宋体"/>
          <w:color w:val="000000" w:themeColor="text1"/>
          <w:kern w:val="0"/>
          <w:sz w:val="24"/>
          <w:highlight w:val="none"/>
          <w14:textFill>
            <w14:solidFill>
              <w14:schemeClr w14:val="tx1"/>
            </w14:solidFill>
          </w14:textFill>
        </w:rPr>
        <w:t>%的违约金，违约金不足以弥补甲方损失的，按实际损失计算；</w:t>
      </w:r>
    </w:p>
    <w:p>
      <w:pPr>
        <w:widowControl/>
        <w:spacing w:line="5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 xml:space="preserve"> 对于甲方提供的图纸和技术资料以及属于甲方的项目成果，乙方有保密义务，不得以任何形式向第三人转让或者提供服务，否则甲方有权要求乙方按本合同额的</w:t>
      </w:r>
      <w:r>
        <w:rPr>
          <w:rFonts w:hint="eastAsia" w:ascii="宋体" w:hAnsi="宋体" w:cs="宋体"/>
          <w:color w:val="000000" w:themeColor="text1"/>
          <w:kern w:val="0"/>
          <w:sz w:val="24"/>
          <w:highlight w:val="none"/>
          <w:u w:val="single"/>
          <w14:textFill>
            <w14:solidFill>
              <w14:schemeClr w14:val="tx1"/>
            </w14:solidFill>
          </w14:textFill>
        </w:rPr>
        <w:t xml:space="preserve"> 50 </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 xml:space="preserve"> 支付违约金，甲方保留追究乙方法律责任的权力；</w:t>
      </w:r>
    </w:p>
    <w:p>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 xml:space="preserve"> 乙方擅自转包或者分包本合同标的，甲方有权解除合同，且乙方需支付甲方违约金，违约金数额为合同额的</w:t>
      </w:r>
      <w:r>
        <w:rPr>
          <w:rFonts w:hint="eastAsia" w:ascii="宋体" w:hAnsi="宋体" w:cs="宋体"/>
          <w:color w:val="000000" w:themeColor="text1"/>
          <w:kern w:val="0"/>
          <w:sz w:val="24"/>
          <w:highlight w:val="none"/>
          <w:u w:val="single"/>
          <w14:textFill>
            <w14:solidFill>
              <w14:schemeClr w14:val="tx1"/>
            </w14:solidFill>
          </w14:textFill>
        </w:rPr>
        <w:t xml:space="preserve"> 60 </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，甲方保留追究乙方法律责任的权力。</w:t>
      </w:r>
    </w:p>
    <w:p>
      <w:pPr>
        <w:widowControl/>
        <w:spacing w:line="500" w:lineRule="exact"/>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12.6 因乙方过错造成甲方重大损失或给相关权利人造成损害的，乙方除采取补救措施外，还须赔偿相应的经济损失并承担法律责任。</w:t>
      </w:r>
    </w:p>
    <w:p>
      <w:pPr>
        <w:widowControl/>
        <w:spacing w:line="500" w:lineRule="exact"/>
        <w:ind w:firstLine="480" w:firstLineChars="200"/>
        <w:rPr>
          <w:rFonts w:ascii="黑体" w:hAnsi="黑体" w:eastAsia="黑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第十三条</w:t>
      </w:r>
      <w:r>
        <w:rPr>
          <w:rFonts w:ascii="黑体" w:hAnsi="黑体" w:eastAsia="黑体" w:cs="宋体"/>
          <w:color w:val="000000" w:themeColor="text1"/>
          <w:kern w:val="0"/>
          <w:sz w:val="24"/>
          <w:highlight w:val="none"/>
          <w14:textFill>
            <w14:solidFill>
              <w14:schemeClr w14:val="tx1"/>
            </w14:solidFill>
          </w14:textFill>
        </w:rPr>
        <w:t xml:space="preserve">  </w:t>
      </w:r>
      <w:r>
        <w:rPr>
          <w:rFonts w:hint="eastAsia" w:ascii="黑体" w:hAnsi="黑体" w:eastAsia="黑体" w:cs="宋体"/>
          <w:color w:val="000000" w:themeColor="text1"/>
          <w:kern w:val="0"/>
          <w:sz w:val="24"/>
          <w:highlight w:val="none"/>
          <w14:textFill>
            <w14:solidFill>
              <w14:schemeClr w14:val="tx1"/>
            </w14:solidFill>
          </w14:textFill>
        </w:rPr>
        <w:t>不可抗力的处理</w:t>
      </w:r>
    </w:p>
    <w:p>
      <w:pPr>
        <w:widowControl/>
        <w:spacing w:line="50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由于不可抗力，致使合同无法履行时，双方应按有关法律规定及时协商处理。</w:t>
      </w:r>
      <w:r>
        <w:rPr>
          <w:rFonts w:ascii="宋体" w:hAnsi="宋体" w:cs="宋体"/>
          <w:color w:val="000000" w:themeColor="text1"/>
          <w:kern w:val="0"/>
          <w:sz w:val="24"/>
          <w:highlight w:val="none"/>
          <w14:textFill>
            <w14:solidFill>
              <w14:schemeClr w14:val="tx1"/>
            </w14:solidFill>
          </w14:textFill>
        </w:rPr>
        <w:t xml:space="preserve"> </w:t>
      </w:r>
    </w:p>
    <w:p>
      <w:pPr>
        <w:spacing w:line="500" w:lineRule="exact"/>
        <w:ind w:firstLine="480" w:firstLineChars="200"/>
        <w:rPr>
          <w:rFonts w:hint="eastAsia" w:ascii="黑体" w:hAnsi="黑体" w:eastAsia="黑体" w:cs="宋体"/>
          <w:color w:val="000000" w:themeColor="text1"/>
          <w:kern w:val="0"/>
          <w:sz w:val="24"/>
          <w:highlight w:val="none"/>
          <w14:textFill>
            <w14:solidFill>
              <w14:schemeClr w14:val="tx1"/>
            </w14:solidFill>
          </w14:textFill>
        </w:rPr>
      </w:pPr>
      <w:r>
        <w:rPr>
          <w:rFonts w:hint="eastAsia" w:ascii="黑体" w:hAnsi="黑体" w:eastAsia="黑体" w:cs="宋体"/>
          <w:color w:val="000000" w:themeColor="text1"/>
          <w:kern w:val="0"/>
          <w:sz w:val="24"/>
          <w:highlight w:val="none"/>
          <w14:textFill>
            <w14:solidFill>
              <w14:schemeClr w14:val="tx1"/>
            </w14:solidFill>
          </w14:textFill>
        </w:rPr>
        <w:t>第十四条  本合同的生效、变更</w:t>
      </w:r>
      <w:bookmarkStart w:id="146" w:name="_Toc231982967"/>
      <w:bookmarkStart w:id="147" w:name="_Toc231873680"/>
      <w:r>
        <w:rPr>
          <w:rFonts w:hint="eastAsia" w:ascii="黑体" w:hAnsi="黑体" w:eastAsia="黑体" w:cs="宋体"/>
          <w:color w:val="000000" w:themeColor="text1"/>
          <w:kern w:val="0"/>
          <w:sz w:val="24"/>
          <w:highlight w:val="none"/>
          <w14:textFill>
            <w14:solidFill>
              <w14:schemeClr w14:val="tx1"/>
            </w14:solidFill>
          </w14:textFill>
        </w:rPr>
        <w:t>及终止</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14.1本合同经双方签字盖章后生效。</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14.2经甲乙双方达成一致意见可通过补充协议对合同权利义务进行变更，补充协议与本合同不一致的以补充协议为准。</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14.3如遇到不可避免的客观原因，导致合同暂时无法履行的，双方可协商约定合同中止，中止情形消失后，继续履行该合同；合同确实无法履行的，双方可协商约定合同终止。</w:t>
      </w:r>
      <w:bookmarkEnd w:id="146"/>
      <w:bookmarkEnd w:id="147"/>
    </w:p>
    <w:p>
      <w:pPr>
        <w:spacing w:line="500" w:lineRule="exact"/>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第十五条  争议解决</w:t>
      </w:r>
    </w:p>
    <w:p>
      <w:pPr>
        <w:spacing w:line="500" w:lineRule="exact"/>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因本合同在履行过程中发生的争议，由双方当事人协商解决，也可由有关部门调解；协商或调解不成的，可以向人民法院起诉，因本合同履行产生的纠纷由甲方住所地人民法院管辖。</w:t>
      </w:r>
    </w:p>
    <w:p>
      <w:pPr>
        <w:spacing w:line="500" w:lineRule="exact"/>
        <w:ind w:firstLine="480" w:firstLine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第十六条  其他</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16.1本合同未尽事宜由甲乙双方协商解决。</w:t>
      </w:r>
    </w:p>
    <w:p>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16.2本合同一式</w:t>
      </w:r>
      <w:r>
        <w:rPr>
          <w:rFonts w:hint="eastAsia" w:ascii="宋体" w:hAnsi="宋体"/>
          <w:color w:val="000000" w:themeColor="text1"/>
          <w:sz w:val="24"/>
          <w:highlight w:val="none"/>
          <w:u w:val="single"/>
          <w14:textFill>
            <w14:solidFill>
              <w14:schemeClr w14:val="tx1"/>
            </w14:solidFill>
          </w14:textFill>
        </w:rPr>
        <w:t xml:space="preserve">  4  </w:t>
      </w:r>
      <w:r>
        <w:rPr>
          <w:rFonts w:hint="eastAsia" w:ascii="宋体" w:hAnsi="宋体"/>
          <w:color w:val="000000" w:themeColor="text1"/>
          <w:sz w:val="24"/>
          <w:highlight w:val="none"/>
          <w14:textFill>
            <w14:solidFill>
              <w14:schemeClr w14:val="tx1"/>
            </w14:solidFill>
          </w14:textFill>
        </w:rPr>
        <w:t>份，甲方</w:t>
      </w:r>
      <w:r>
        <w:rPr>
          <w:rFonts w:hint="eastAsia" w:ascii="宋体" w:hAnsi="宋体"/>
          <w:color w:val="000000" w:themeColor="text1"/>
          <w:sz w:val="24"/>
          <w:highlight w:val="none"/>
          <w:u w:val="single"/>
          <w14:textFill>
            <w14:solidFill>
              <w14:schemeClr w14:val="tx1"/>
            </w14:solidFill>
          </w14:textFill>
        </w:rPr>
        <w:t xml:space="preserve">   2  </w:t>
      </w:r>
      <w:r>
        <w:rPr>
          <w:rFonts w:hint="eastAsia" w:ascii="宋体" w:hAnsi="宋体"/>
          <w:color w:val="000000" w:themeColor="text1"/>
          <w:sz w:val="24"/>
          <w:highlight w:val="none"/>
          <w14:textFill>
            <w14:solidFill>
              <w14:schemeClr w14:val="tx1"/>
            </w14:solidFill>
          </w14:textFill>
        </w:rPr>
        <w:t>份，乙方</w:t>
      </w:r>
      <w:r>
        <w:rPr>
          <w:rFonts w:hint="eastAsia" w:ascii="宋体" w:hAnsi="宋体"/>
          <w:color w:val="000000" w:themeColor="text1"/>
          <w:sz w:val="24"/>
          <w:highlight w:val="none"/>
          <w:u w:val="single"/>
          <w14:textFill>
            <w14:solidFill>
              <w14:schemeClr w14:val="tx1"/>
            </w14:solidFill>
          </w14:textFill>
        </w:rPr>
        <w:t xml:space="preserve">  2   </w:t>
      </w:r>
      <w:r>
        <w:rPr>
          <w:rFonts w:hint="eastAsia" w:ascii="宋体" w:hAnsi="宋体"/>
          <w:color w:val="000000" w:themeColor="text1"/>
          <w:sz w:val="24"/>
          <w:highlight w:val="none"/>
          <w14:textFill>
            <w14:solidFill>
              <w14:schemeClr w14:val="tx1"/>
            </w14:solidFill>
          </w14:textFill>
        </w:rPr>
        <w:t>份，具有同等法律效力。</w:t>
      </w:r>
    </w:p>
    <w:p>
      <w:pPr>
        <w:spacing w:line="500" w:lineRule="exact"/>
        <w:ind w:firstLine="482" w:firstLineChars="200"/>
        <w:jc w:val="center"/>
        <w:rPr>
          <w:rFonts w:hint="eastAsia" w:ascii="宋体" w:hAnsi="宋体"/>
          <w:b/>
          <w:color w:val="000000" w:themeColor="text1"/>
          <w:sz w:val="24"/>
          <w:highlight w:val="none"/>
          <w14:textFill>
            <w14:solidFill>
              <w14:schemeClr w14:val="tx1"/>
            </w14:solidFill>
          </w14:textFill>
        </w:rPr>
      </w:pPr>
    </w:p>
    <w:tbl>
      <w:tblPr>
        <w:tblStyle w:val="34"/>
        <w:tblW w:w="8794" w:type="dxa"/>
        <w:jc w:val="center"/>
        <w:tblLayout w:type="fixed"/>
        <w:tblCellMar>
          <w:top w:w="0" w:type="dxa"/>
          <w:left w:w="108" w:type="dxa"/>
          <w:bottom w:w="0" w:type="dxa"/>
          <w:right w:w="108" w:type="dxa"/>
        </w:tblCellMar>
      </w:tblPr>
      <w:tblGrid>
        <w:gridCol w:w="4691"/>
        <w:gridCol w:w="4103"/>
      </w:tblGrid>
      <w:tr>
        <w:tblPrEx>
          <w:tblCellMar>
            <w:top w:w="0" w:type="dxa"/>
            <w:left w:w="108" w:type="dxa"/>
            <w:bottom w:w="0" w:type="dxa"/>
            <w:right w:w="108" w:type="dxa"/>
          </w:tblCellMar>
        </w:tblPrEx>
        <w:trPr>
          <w:jc w:val="center"/>
        </w:trPr>
        <w:tc>
          <w:tcPr>
            <w:tcW w:w="4691" w:type="dxa"/>
          </w:tcPr>
          <w:p>
            <w:pPr>
              <w:spacing w:line="500" w:lineRule="exact"/>
              <w:rPr>
                <w:rFonts w:hint="eastAsia" w:hAnsi="宋体"/>
                <w:color w:val="000000" w:themeColor="text1"/>
                <w:spacing w:val="10"/>
                <w:sz w:val="24"/>
                <w:highlight w:val="none"/>
                <w14:textFill>
                  <w14:solidFill>
                    <w14:schemeClr w14:val="tx1"/>
                  </w14:solidFill>
                </w14:textFill>
              </w:rPr>
            </w:pPr>
            <w:r>
              <w:rPr>
                <w:rFonts w:hAnsi="宋体"/>
                <w:color w:val="000000" w:themeColor="text1"/>
                <w:spacing w:val="10"/>
                <w:sz w:val="24"/>
                <w:highlight w:val="none"/>
                <w14:textFill>
                  <w14:solidFill>
                    <w14:schemeClr w14:val="tx1"/>
                  </w14:solidFill>
                </w14:textFill>
              </w:rPr>
              <w:t>甲方</w:t>
            </w:r>
            <w:r>
              <w:rPr>
                <w:rFonts w:hint="eastAsia" w:hAnsi="宋体"/>
                <w:color w:val="000000" w:themeColor="text1"/>
                <w:spacing w:val="10"/>
                <w:sz w:val="24"/>
                <w:highlight w:val="none"/>
                <w14:textFill>
                  <w14:solidFill>
                    <w14:schemeClr w14:val="tx1"/>
                  </w14:solidFill>
                </w14:textFill>
              </w:rPr>
              <w:t>：（盖章）</w:t>
            </w:r>
          </w:p>
          <w:p>
            <w:pPr>
              <w:spacing w:line="500" w:lineRule="exact"/>
              <w:rPr>
                <w:rFonts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w:t>
            </w:r>
          </w:p>
          <w:p>
            <w:pPr>
              <w:spacing w:line="500" w:lineRule="exact"/>
              <w:rPr>
                <w:rFonts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（或委托代理人）</w:t>
            </w:r>
          </w:p>
          <w:p>
            <w:pPr>
              <w:spacing w:line="5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地址：</w:t>
            </w:r>
          </w:p>
          <w:p>
            <w:pPr>
              <w:spacing w:line="5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电话：</w:t>
            </w:r>
          </w:p>
          <w:p>
            <w:pPr>
              <w:spacing w:line="50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社会信用代码： </w:t>
            </w:r>
          </w:p>
          <w:p>
            <w:pPr>
              <w:spacing w:line="500" w:lineRule="exac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开户银行：</w:t>
            </w:r>
            <w:r>
              <w:rPr>
                <w:rFonts w:hint="eastAsia" w:hAnsi="宋体"/>
                <w:color w:val="000000" w:themeColor="text1"/>
                <w:sz w:val="24"/>
                <w:highlight w:val="none"/>
                <w14:textFill>
                  <w14:solidFill>
                    <w14:schemeClr w14:val="tx1"/>
                  </w14:solidFill>
                </w14:textFill>
              </w:rPr>
              <w:t xml:space="preserve"> </w:t>
            </w:r>
          </w:p>
          <w:p>
            <w:pPr>
              <w:spacing w:line="500" w:lineRule="exact"/>
              <w:rPr>
                <w:rFonts w:hAnsi="宋体"/>
                <w:color w:val="000000" w:themeColor="text1"/>
                <w:spacing w:val="10"/>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账</w:t>
            </w:r>
            <w:r>
              <w:rPr>
                <w:rFonts w:hAnsi="宋体"/>
                <w:color w:val="000000" w:themeColor="text1"/>
                <w:sz w:val="24"/>
                <w:highlight w:val="none"/>
                <w14:textFill>
                  <w14:solidFill>
                    <w14:schemeClr w14:val="tx1"/>
                  </w14:solidFill>
                </w14:textFill>
              </w:rPr>
              <w:t>号：</w:t>
            </w:r>
          </w:p>
        </w:tc>
        <w:tc>
          <w:tcPr>
            <w:tcW w:w="4103" w:type="dxa"/>
          </w:tcPr>
          <w:p>
            <w:pPr>
              <w:spacing w:line="500" w:lineRule="exact"/>
              <w:rPr>
                <w:rFonts w:hint="eastAsia" w:hAnsi="宋体"/>
                <w:color w:val="000000" w:themeColor="text1"/>
                <w:spacing w:val="10"/>
                <w:sz w:val="24"/>
                <w:highlight w:val="none"/>
                <w14:textFill>
                  <w14:solidFill>
                    <w14:schemeClr w14:val="tx1"/>
                  </w14:solidFill>
                </w14:textFill>
              </w:rPr>
            </w:pPr>
            <w:r>
              <w:rPr>
                <w:rFonts w:hAnsi="宋体"/>
                <w:color w:val="000000" w:themeColor="text1"/>
                <w:spacing w:val="10"/>
                <w:sz w:val="24"/>
                <w:highlight w:val="none"/>
                <w14:textFill>
                  <w14:solidFill>
                    <w14:schemeClr w14:val="tx1"/>
                  </w14:solidFill>
                </w14:textFill>
              </w:rPr>
              <w:t>乙方：</w:t>
            </w:r>
            <w:r>
              <w:rPr>
                <w:rFonts w:hint="eastAsia" w:hAnsi="宋体"/>
                <w:color w:val="000000" w:themeColor="text1"/>
                <w:spacing w:val="10"/>
                <w:sz w:val="24"/>
                <w:highlight w:val="none"/>
                <w14:textFill>
                  <w14:solidFill>
                    <w14:schemeClr w14:val="tx1"/>
                  </w14:solidFill>
                </w14:textFill>
              </w:rPr>
              <w:t>（盖章）</w:t>
            </w:r>
          </w:p>
          <w:p>
            <w:pPr>
              <w:spacing w:line="500" w:lineRule="exact"/>
              <w:rPr>
                <w:rFonts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w:t>
            </w:r>
          </w:p>
          <w:p>
            <w:pPr>
              <w:spacing w:line="500" w:lineRule="exact"/>
              <w:rPr>
                <w:rFonts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（或委托代理人）</w:t>
            </w:r>
          </w:p>
          <w:p>
            <w:pPr>
              <w:spacing w:line="500" w:lineRule="exact"/>
              <w:rPr>
                <w:rFonts w:hAnsi="宋体"/>
                <w:color w:val="000000" w:themeColor="text1"/>
                <w:sz w:val="24"/>
                <w:highlight w:val="none"/>
                <w14:textFill>
                  <w14:solidFill>
                    <w14:schemeClr w14:val="tx1"/>
                  </w14:solidFill>
                </w14:textFill>
              </w:rPr>
            </w:pPr>
            <w:r>
              <w:rPr>
                <w:rFonts w:hAnsi="宋体"/>
                <w:color w:val="000000" w:themeColor="text1"/>
                <w:spacing w:val="10"/>
                <w:sz w:val="24"/>
                <w:highlight w:val="none"/>
                <w14:textFill>
                  <w14:solidFill>
                    <w14:schemeClr w14:val="tx1"/>
                  </w14:solidFill>
                </w14:textFill>
              </w:rPr>
              <w:t>地址</w:t>
            </w:r>
            <w:r>
              <w:rPr>
                <w:rFonts w:hint="eastAsia" w:hAnsi="宋体"/>
                <w:color w:val="000000" w:themeColor="text1"/>
                <w:spacing w:val="10"/>
                <w:sz w:val="24"/>
                <w:highlight w:val="none"/>
                <w14:textFill>
                  <w14:solidFill>
                    <w14:schemeClr w14:val="tx1"/>
                  </w14:solidFill>
                </w14:textFill>
              </w:rPr>
              <w:t>：</w:t>
            </w:r>
          </w:p>
          <w:p>
            <w:pPr>
              <w:spacing w:line="500" w:lineRule="exact"/>
              <w:rPr>
                <w:rFonts w:hAnsi="宋体"/>
                <w:color w:val="000000" w:themeColor="text1"/>
                <w:sz w:val="24"/>
                <w:highlight w:val="none"/>
                <w14:textFill>
                  <w14:solidFill>
                    <w14:schemeClr w14:val="tx1"/>
                  </w14:solidFill>
                </w14:textFill>
              </w:rPr>
            </w:pPr>
            <w:r>
              <w:rPr>
                <w:rFonts w:hAnsi="宋体"/>
                <w:color w:val="000000" w:themeColor="text1"/>
                <w:spacing w:val="10"/>
                <w:sz w:val="24"/>
                <w:highlight w:val="none"/>
                <w14:textFill>
                  <w14:solidFill>
                    <w14:schemeClr w14:val="tx1"/>
                  </w14:solidFill>
                </w14:textFill>
              </w:rPr>
              <w:t>电话：</w:t>
            </w:r>
          </w:p>
          <w:p>
            <w:pPr>
              <w:spacing w:line="500" w:lineRule="exac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社会信用代码：</w:t>
            </w:r>
          </w:p>
          <w:p>
            <w:pPr>
              <w:spacing w:line="500" w:lineRule="exact"/>
              <w:rPr>
                <w:rFonts w:hint="eastAsia" w:hAnsi="宋体"/>
                <w:color w:val="000000" w:themeColor="text1"/>
                <w:spacing w:val="10"/>
                <w:sz w:val="24"/>
                <w:highlight w:val="none"/>
                <w14:textFill>
                  <w14:solidFill>
                    <w14:schemeClr w14:val="tx1"/>
                  </w14:solidFill>
                </w14:textFill>
              </w:rPr>
            </w:pPr>
            <w:r>
              <w:rPr>
                <w:rFonts w:hAnsi="宋体"/>
                <w:color w:val="000000" w:themeColor="text1"/>
                <w:spacing w:val="10"/>
                <w:sz w:val="24"/>
                <w:highlight w:val="none"/>
                <w14:textFill>
                  <w14:solidFill>
                    <w14:schemeClr w14:val="tx1"/>
                  </w14:solidFill>
                </w14:textFill>
              </w:rPr>
              <w:t>开户银行：</w:t>
            </w:r>
          </w:p>
          <w:p>
            <w:pPr>
              <w:spacing w:line="500" w:lineRule="exact"/>
              <w:rPr>
                <w:rFonts w:hAnsi="宋体"/>
                <w:color w:val="000000" w:themeColor="text1"/>
                <w:spacing w:val="10"/>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账</w:t>
            </w:r>
            <w:r>
              <w:rPr>
                <w:rFonts w:hAnsi="宋体"/>
                <w:color w:val="000000" w:themeColor="text1"/>
                <w:spacing w:val="10"/>
                <w:sz w:val="24"/>
                <w:highlight w:val="none"/>
                <w14:textFill>
                  <w14:solidFill>
                    <w14:schemeClr w14:val="tx1"/>
                  </w14:solidFill>
                </w14:textFill>
              </w:rPr>
              <w:t>号：</w:t>
            </w:r>
          </w:p>
        </w:tc>
      </w:tr>
    </w:tbl>
    <w:p>
      <w:pPr>
        <w:widowControl/>
        <w:spacing w:afterLines="50" w:line="500" w:lineRule="exact"/>
        <w:jc w:val="left"/>
        <w:rPr>
          <w:rFonts w:hint="eastAsia" w:ascii="宋体" w:hAnsi="宋体" w:cs="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143"/>
    <w:bookmarkEnd w:id="144"/>
    <w:bookmarkEnd w:id="145"/>
    <w:p>
      <w:pPr>
        <w:pStyle w:val="32"/>
        <w:rPr>
          <w:color w:val="000000" w:themeColor="text1"/>
          <w:highlight w:val="none"/>
          <w14:textFill>
            <w14:solidFill>
              <w14:schemeClr w14:val="tx1"/>
            </w14:solidFill>
          </w14:textFill>
        </w:rPr>
      </w:pPr>
      <w:bookmarkStart w:id="148" w:name="_Toc22092_WPSOffice_Level1"/>
    </w:p>
    <w:p>
      <w:pPr>
        <w:pStyle w:val="3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adjustRightInd w:val="0"/>
        <w:snapToGrid w:val="0"/>
        <w:spacing w:line="380" w:lineRule="exact"/>
        <w:rPr>
          <w:rFonts w:ascii="黑体" w:hAnsi="黑体" w:eastAsia="黑体"/>
          <w:snapToGrid w:val="0"/>
          <w:color w:val="000000" w:themeColor="text1"/>
          <w:kern w:val="0"/>
          <w:szCs w:val="21"/>
          <w:highlight w:val="none"/>
          <w14:textFill>
            <w14:solidFill>
              <w14:schemeClr w14:val="tx1"/>
            </w14:solidFill>
          </w14:textFill>
        </w:rPr>
        <w:sectPr>
          <w:headerReference r:id="rId13" w:type="first"/>
          <w:headerReference r:id="rId11" w:type="default"/>
          <w:footerReference r:id="rId14" w:type="default"/>
          <w:headerReference r:id="rId12" w:type="even"/>
          <w:type w:val="continuous"/>
          <w:pgSz w:w="11906" w:h="16838"/>
          <w:pgMar w:top="1304" w:right="1304" w:bottom="1134" w:left="1304" w:header="851" w:footer="992" w:gutter="0"/>
          <w:cols w:space="720" w:num="1"/>
          <w:docGrid w:type="lines" w:linePitch="312" w:charSpace="0"/>
        </w:sectPr>
      </w:pPr>
    </w:p>
    <w:p>
      <w:pPr>
        <w:adjustRightInd w:val="0"/>
        <w:snapToGrid w:val="0"/>
        <w:spacing w:line="380" w:lineRule="exact"/>
        <w:ind w:left="525" w:hanging="525" w:hangingChars="250"/>
        <w:rPr>
          <w:rFonts w:ascii="黑体" w:hAnsi="黑体" w:eastAsia="黑体"/>
          <w:snapToGrid w:val="0"/>
          <w:color w:val="000000" w:themeColor="text1"/>
          <w:kern w:val="0"/>
          <w:szCs w:val="21"/>
          <w:highlight w:val="none"/>
          <w14:textFill>
            <w14:solidFill>
              <w14:schemeClr w14:val="tx1"/>
            </w14:solidFill>
          </w14:textFill>
        </w:rPr>
        <w:sectPr>
          <w:type w:val="continuous"/>
          <w:pgSz w:w="11906" w:h="16838"/>
          <w:pgMar w:top="1304" w:right="1304" w:bottom="1134" w:left="1304" w:header="851" w:footer="992" w:gutter="0"/>
          <w:cols w:space="425" w:num="2"/>
          <w:docGrid w:type="lines" w:linePitch="312" w:charSpace="0"/>
        </w:sectPr>
      </w:pPr>
    </w:p>
    <w:p>
      <w:pPr>
        <w:pStyle w:val="32"/>
        <w:rPr>
          <w:color w:val="000000" w:themeColor="text1"/>
          <w:highlight w:val="none"/>
          <w14:textFill>
            <w14:solidFill>
              <w14:schemeClr w14:val="tx1"/>
            </w14:solidFill>
          </w14:textFill>
        </w:rPr>
      </w:pPr>
      <w:bookmarkStart w:id="149" w:name="_Toc118809480"/>
      <w:r>
        <w:rPr>
          <w:rFonts w:hint="eastAsia"/>
          <w:color w:val="000000" w:themeColor="text1"/>
          <w:highlight w:val="none"/>
          <w14:textFill>
            <w14:solidFill>
              <w14:schemeClr w14:val="tx1"/>
            </w14:solidFill>
          </w14:textFill>
        </w:rPr>
        <w:t>第五部分</w:t>
      </w:r>
      <w:bookmarkEnd w:id="148"/>
      <w:r>
        <w:rPr>
          <w:rFonts w:hint="eastAsia"/>
          <w:color w:val="000000" w:themeColor="text1"/>
          <w:highlight w:val="none"/>
          <w14:textFill>
            <w14:solidFill>
              <w14:schemeClr w14:val="tx1"/>
            </w14:solidFill>
          </w14:textFill>
        </w:rPr>
        <w:t xml:space="preserve"> 项目需求</w:t>
      </w:r>
      <w:bookmarkEnd w:id="149"/>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0" w:name="_Toc118809481"/>
      <w:r>
        <w:rPr>
          <w:rFonts w:hint="eastAsia" w:ascii="黑体" w:hAnsi="黑体" w:cs="黑体"/>
          <w:color w:val="000000" w:themeColor="text1"/>
          <w:szCs w:val="32"/>
          <w:highlight w:val="none"/>
          <w14:textFill>
            <w14:solidFill>
              <w14:schemeClr w14:val="tx1"/>
            </w14:solidFill>
          </w14:textFill>
        </w:rPr>
        <w:t>一、项目背景</w:t>
      </w:r>
      <w:bookmarkEnd w:id="150"/>
    </w:p>
    <w:p>
      <w:pPr>
        <w:spacing w:line="360" w:lineRule="auto"/>
        <w:ind w:firstLine="480" w:firstLineChars="200"/>
        <w:rPr>
          <w:rFonts w:ascii="宋体" w:cs="宋体"/>
          <w:color w:val="000000" w:themeColor="text1"/>
          <w:kern w:val="0"/>
          <w:sz w:val="24"/>
          <w:highlight w:val="none"/>
          <w14:textFill>
            <w14:solidFill>
              <w14:schemeClr w14:val="tx1"/>
            </w14:solidFill>
          </w14:textFill>
        </w:rPr>
      </w:pPr>
      <w:r>
        <w:rPr>
          <w:rFonts w:hint="eastAsia" w:ascii="宋体" w:cs="宋体"/>
          <w:color w:val="000000" w:themeColor="text1"/>
          <w:kern w:val="0"/>
          <w:sz w:val="24"/>
          <w:highlight w:val="none"/>
          <w14:textFill>
            <w14:solidFill>
              <w14:schemeClr w14:val="tx1"/>
            </w14:solidFill>
          </w14:textFill>
        </w:rPr>
        <w:t>为了满足高邮、宝应2个区域日常业务正常开展和地方经济发展的需要</w:t>
      </w:r>
      <w:r>
        <w:rPr>
          <w:rFonts w:ascii="宋体" w:cs="宋体"/>
          <w:color w:val="000000" w:themeColor="text1"/>
          <w:kern w:val="0"/>
          <w:sz w:val="24"/>
          <w:highlight w:val="none"/>
          <w14:textFill>
            <w14:solidFill>
              <w14:schemeClr w14:val="tx1"/>
            </w14:solidFill>
          </w14:textFill>
        </w:rPr>
        <w:t>，采取</w:t>
      </w:r>
      <w:r>
        <w:rPr>
          <w:rFonts w:hint="eastAsia" w:ascii="宋体" w:cs="宋体"/>
          <w:color w:val="000000" w:themeColor="text1"/>
          <w:kern w:val="0"/>
          <w:sz w:val="24"/>
          <w:highlight w:val="none"/>
          <w14:textFill>
            <w14:solidFill>
              <w14:schemeClr w14:val="tx1"/>
            </w14:solidFill>
          </w14:textFill>
        </w:rPr>
        <w:t>公开招标</w:t>
      </w:r>
      <w:r>
        <w:rPr>
          <w:rFonts w:ascii="宋体" w:cs="宋体"/>
          <w:color w:val="000000" w:themeColor="text1"/>
          <w:kern w:val="0"/>
          <w:sz w:val="24"/>
          <w:highlight w:val="none"/>
          <w14:textFill>
            <w14:solidFill>
              <w14:schemeClr w14:val="tx1"/>
            </w14:solidFill>
          </w14:textFill>
        </w:rPr>
        <w:t>方式，</w:t>
      </w:r>
      <w:r>
        <w:rPr>
          <w:rFonts w:hint="eastAsia" w:ascii="宋体" w:cs="宋体"/>
          <w:color w:val="000000" w:themeColor="text1"/>
          <w:kern w:val="0"/>
          <w:sz w:val="24"/>
          <w:highlight w:val="none"/>
          <w14:textFill>
            <w14:solidFill>
              <w14:schemeClr w14:val="tx1"/>
            </w14:solidFill>
          </w14:textFill>
        </w:rPr>
        <w:t>选择有相应资质、资历和经验的合格投标商，为以上2个区域进行测绘及市政勘测服务。</w:t>
      </w:r>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1" w:name="_Toc107479274"/>
      <w:bookmarkStart w:id="152" w:name="_Toc118809482"/>
      <w:r>
        <w:rPr>
          <w:rFonts w:hint="eastAsia" w:ascii="黑体" w:hAnsi="黑体" w:cs="黑体"/>
          <w:color w:val="000000" w:themeColor="text1"/>
          <w:szCs w:val="32"/>
          <w:highlight w:val="none"/>
          <w14:textFill>
            <w14:solidFill>
              <w14:schemeClr w14:val="tx1"/>
            </w14:solidFill>
          </w14:textFill>
        </w:rPr>
        <w:t>二、主要</w:t>
      </w:r>
      <w:bookmarkEnd w:id="151"/>
      <w:r>
        <w:rPr>
          <w:rFonts w:hint="eastAsia" w:ascii="黑体" w:hAnsi="黑体" w:cs="黑体"/>
          <w:color w:val="000000" w:themeColor="text1"/>
          <w:szCs w:val="32"/>
          <w:highlight w:val="none"/>
          <w14:textFill>
            <w14:solidFill>
              <w14:schemeClr w14:val="tx1"/>
            </w14:solidFill>
          </w14:textFill>
        </w:rPr>
        <w:t>工作内容</w:t>
      </w:r>
      <w:bookmarkEnd w:id="152"/>
    </w:p>
    <w:p>
      <w:pPr>
        <w:widowControl/>
        <w:spacing w:afterLines="50" w:line="360" w:lineRule="auto"/>
        <w:ind w:firstLine="480" w:firstLineChars="200"/>
        <w:jc w:val="left"/>
        <w:rPr>
          <w:rFonts w:ascii="宋体" w:cs="宋体"/>
          <w:color w:val="000000" w:themeColor="text1"/>
          <w:kern w:val="0"/>
          <w:sz w:val="24"/>
          <w:highlight w:val="none"/>
          <w14:textFill>
            <w14:solidFill>
              <w14:schemeClr w14:val="tx1"/>
            </w14:solidFill>
          </w14:textFill>
        </w:rPr>
      </w:pPr>
      <w:r>
        <w:rPr>
          <w:rFonts w:hint="eastAsia" w:ascii="宋体" w:cs="宋体"/>
          <w:color w:val="000000" w:themeColor="text1"/>
          <w:kern w:val="0"/>
          <w:sz w:val="24"/>
          <w:highlight w:val="none"/>
          <w14:textFill>
            <w14:solidFill>
              <w14:schemeClr w14:val="tx1"/>
            </w14:solidFill>
          </w14:textFill>
        </w:rPr>
        <w:t>工作内容主要包括：</w:t>
      </w:r>
      <w:r>
        <w:rPr>
          <w:rFonts w:hint="eastAsia" w:ascii="宋体" w:cs="宋体"/>
          <w:color w:val="000000" w:themeColor="text1"/>
          <w:kern w:val="0"/>
          <w:sz w:val="24"/>
          <w:highlight w:val="none"/>
          <w14:textFill>
            <w14:solidFill>
              <w14:schemeClr w14:val="tx1"/>
            </w14:solidFill>
          </w14:textFill>
        </w:rPr>
        <w:t>受理、信息入库、房屋落宗、日常数据整合和维护、证书制作和登记档案整理归档、管线探测及市政施工等劳务基础工作。</w:t>
      </w:r>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3" w:name="_Toc118809484"/>
      <w:r>
        <w:rPr>
          <w:rFonts w:hint="eastAsia" w:ascii="黑体" w:hAnsi="黑体" w:cs="黑体"/>
          <w:color w:val="000000" w:themeColor="text1"/>
          <w:szCs w:val="32"/>
          <w:highlight w:val="none"/>
          <w14:textFill>
            <w14:solidFill>
              <w14:schemeClr w14:val="tx1"/>
            </w14:solidFill>
          </w14:textFill>
        </w:rPr>
        <w:t>三、项目完成工期</w:t>
      </w:r>
      <w:bookmarkEnd w:id="153"/>
    </w:p>
    <w:p>
      <w:pPr>
        <w:widowControl/>
        <w:spacing w:afterLines="50" w:line="360" w:lineRule="auto"/>
        <w:ind w:firstLine="480" w:firstLineChars="200"/>
        <w:jc w:val="left"/>
        <w:rPr>
          <w:rFonts w:ascii="宋体" w:cs="宋体"/>
          <w:color w:val="000000" w:themeColor="text1"/>
          <w:kern w:val="0"/>
          <w:sz w:val="24"/>
          <w:highlight w:val="none"/>
          <w14:textFill>
            <w14:solidFill>
              <w14:schemeClr w14:val="tx1"/>
            </w14:solidFill>
          </w14:textFill>
        </w:rPr>
      </w:pPr>
      <w:r>
        <w:rPr>
          <w:rFonts w:hint="eastAsia" w:ascii="宋体" w:cs="宋体"/>
          <w:color w:val="000000" w:themeColor="text1"/>
          <w:kern w:val="0"/>
          <w:sz w:val="24"/>
          <w:highlight w:val="none"/>
          <w14:textFill>
            <w14:solidFill>
              <w14:schemeClr w14:val="tx1"/>
            </w14:solidFill>
          </w14:textFill>
        </w:rPr>
        <w:t>自合同签订起一年。</w:t>
      </w:r>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4" w:name="_Toc118809485"/>
      <w:r>
        <w:rPr>
          <w:rFonts w:hint="eastAsia" w:ascii="黑体" w:hAnsi="黑体" w:cs="黑体"/>
          <w:color w:val="000000" w:themeColor="text1"/>
          <w:szCs w:val="32"/>
          <w:highlight w:val="none"/>
          <w14:textFill>
            <w14:solidFill>
              <w14:schemeClr w14:val="tx1"/>
            </w14:solidFill>
          </w14:textFill>
        </w:rPr>
        <w:t>四、技术人员投入要求</w:t>
      </w:r>
      <w:bookmarkEnd w:id="154"/>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为保证各个区域按时保质完成工作任务，</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本项目各投标供应商投入人员不得少于70人。（高邮50人、宝应20人）</w:t>
      </w:r>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5" w:name="_Toc118809486"/>
      <w:r>
        <w:rPr>
          <w:rFonts w:hint="eastAsia" w:ascii="黑体" w:hAnsi="黑体" w:cs="黑体"/>
          <w:color w:val="000000" w:themeColor="text1"/>
          <w:szCs w:val="32"/>
          <w:highlight w:val="none"/>
          <w14:textFill>
            <w14:solidFill>
              <w14:schemeClr w14:val="tx1"/>
            </w14:solidFill>
          </w14:textFill>
        </w:rPr>
        <w:t>五、付款方式</w:t>
      </w:r>
      <w:bookmarkEnd w:id="155"/>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根据每月完成的工作量据实结算，次月15日之前支付上月结算款项。</w:t>
      </w:r>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6" w:name="_Toc118809488"/>
      <w:r>
        <w:rPr>
          <w:rFonts w:hint="eastAsia" w:ascii="黑体" w:hAnsi="黑体" w:cs="黑体"/>
          <w:color w:val="000000" w:themeColor="text1"/>
          <w:szCs w:val="32"/>
          <w:highlight w:val="none"/>
          <w14:textFill>
            <w14:solidFill>
              <w14:schemeClr w14:val="tx1"/>
            </w14:solidFill>
          </w14:textFill>
        </w:rPr>
        <w:t>六、合同签署</w:t>
      </w:r>
    </w:p>
    <w:p>
      <w:pPr>
        <w:rPr>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服务质量达到招标人要求，合同期满和中标供应商协商后可以按照此中标价格续签</w:t>
      </w:r>
      <w:r>
        <w:rPr>
          <w:rFonts w:hint="eastAsia"/>
          <w:color w:val="000000" w:themeColor="text1"/>
          <w:sz w:val="24"/>
          <w:highlight w:val="none"/>
          <w14:textFill>
            <w14:solidFill>
              <w14:schemeClr w14:val="tx1"/>
            </w14:solidFill>
          </w14:textFill>
        </w:rPr>
        <w:t>一</w:t>
      </w:r>
      <w:r>
        <w:rPr>
          <w:rFonts w:hint="eastAsia"/>
          <w:color w:val="000000" w:themeColor="text1"/>
          <w:sz w:val="24"/>
          <w:highlight w:val="none"/>
          <w14:textFill>
            <w14:solidFill>
              <w14:schemeClr w14:val="tx1"/>
            </w14:solidFill>
          </w14:textFill>
        </w:rPr>
        <w:t>年。</w:t>
      </w:r>
    </w:p>
    <w:p>
      <w:pPr>
        <w:pStyle w:val="3"/>
        <w:spacing w:line="520" w:lineRule="atLeast"/>
        <w:rPr>
          <w:rFonts w:ascii="黑体" w:hAnsi="黑体" w:cs="黑体"/>
          <w:color w:val="000000" w:themeColor="text1"/>
          <w:szCs w:val="32"/>
          <w:highlight w:val="none"/>
          <w14:textFill>
            <w14:solidFill>
              <w14:schemeClr w14:val="tx1"/>
            </w14:solidFill>
          </w14:textFill>
        </w:rPr>
      </w:pPr>
      <w:r>
        <w:rPr>
          <w:rFonts w:hint="eastAsia" w:ascii="黑体" w:hAnsi="黑体" w:cs="黑体"/>
          <w:color w:val="000000" w:themeColor="text1"/>
          <w:szCs w:val="32"/>
          <w:highlight w:val="none"/>
          <w14:textFill>
            <w14:solidFill>
              <w14:schemeClr w14:val="tx1"/>
            </w14:solidFill>
          </w14:textFill>
        </w:rPr>
        <w:t>七、保密要求</w:t>
      </w:r>
      <w:bookmarkEnd w:id="156"/>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（1）中标人须在合同中进行责任约定（保密安全协议另签）；中标人在工作期间必须遵守相关保密制度；</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（2）工作人员不得以任何形式将各项档案资料带出指定工作现场，不得以任何形式进行泄漏、传播；不得无故查看及讨论档案内容。</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（3）各种档案文件，不得丢失、泄密、损坏。</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（4）参与项目实施的人员不得有违法犯罪的记录，不得采用临时聘用人员。</w:t>
      </w:r>
    </w:p>
    <w:p>
      <w:pPr>
        <w:pStyle w:val="3"/>
        <w:spacing w:line="520" w:lineRule="atLeast"/>
        <w:rPr>
          <w:rFonts w:ascii="黑体" w:hAnsi="黑体" w:cs="黑体"/>
          <w:color w:val="000000" w:themeColor="text1"/>
          <w:szCs w:val="32"/>
          <w:highlight w:val="none"/>
          <w14:textFill>
            <w14:solidFill>
              <w14:schemeClr w14:val="tx1"/>
            </w14:solidFill>
          </w14:textFill>
        </w:rPr>
      </w:pPr>
      <w:bookmarkStart w:id="157" w:name="_Toc118809489"/>
      <w:r>
        <w:rPr>
          <w:rFonts w:hint="eastAsia" w:ascii="黑体" w:hAnsi="黑体" w:cs="黑体"/>
          <w:color w:val="000000" w:themeColor="text1"/>
          <w:szCs w:val="32"/>
          <w:highlight w:val="none"/>
          <w14:textFill>
            <w14:solidFill>
              <w14:schemeClr w14:val="tx1"/>
            </w14:solidFill>
          </w14:textFill>
        </w:rPr>
        <w:t>八、安全责任</w:t>
      </w:r>
      <w:bookmarkEnd w:id="157"/>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本项目的安全责任由中标人自行负责，在项目实施过程中发生任何安全生产事故造成的人身伤亡、财产损失及相关法律和经济责任等均由中标人全部承担。</w:t>
      </w:r>
    </w:p>
    <w:p>
      <w:pPr>
        <w:pStyle w:val="32"/>
        <w:rPr>
          <w:rFonts w:hint="eastAsia"/>
          <w:color w:val="000000" w:themeColor="text1"/>
          <w:highlight w:val="none"/>
          <w14:textFill>
            <w14:solidFill>
              <w14:schemeClr w14:val="tx1"/>
            </w14:solidFill>
          </w14:textFill>
        </w:rPr>
      </w:pPr>
      <w:bookmarkStart w:id="158" w:name="_Toc225585661"/>
      <w:bookmarkStart w:id="159" w:name="_Toc12330_WPSOffice_Level1"/>
      <w:bookmarkStart w:id="160" w:name="_Toc1584"/>
      <w:bookmarkStart w:id="161" w:name="_Toc118809490"/>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rFonts w:hint="eastAsia"/>
          <w:color w:val="000000" w:themeColor="text1"/>
          <w:highlight w:val="none"/>
          <w14:textFill>
            <w14:solidFill>
              <w14:schemeClr w14:val="tx1"/>
            </w14:solidFill>
          </w14:textFill>
        </w:rPr>
      </w:pPr>
    </w:p>
    <w:p>
      <w:pPr>
        <w:pStyle w:val="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第六部分：附件（投标文件格式）</w:t>
      </w:r>
      <w:bookmarkEnd w:id="158"/>
      <w:bookmarkEnd w:id="159"/>
      <w:bookmarkEnd w:id="160"/>
      <w:bookmarkEnd w:id="161"/>
    </w:p>
    <w:p>
      <w:pPr>
        <w:tabs>
          <w:tab w:val="left" w:pos="0"/>
          <w:tab w:val="left" w:pos="993"/>
          <w:tab w:val="left" w:pos="1134"/>
        </w:tabs>
        <w:adjustRightInd w:val="0"/>
        <w:snapToGrid w:val="0"/>
        <w:spacing w:line="30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一、</w:t>
      </w:r>
      <w:r>
        <w:rPr>
          <w:rFonts w:hint="eastAsia" w:ascii="宋体" w:hAnsi="宋体" w:cs="宋体"/>
          <w:b/>
          <w:color w:val="000000" w:themeColor="text1"/>
          <w:sz w:val="36"/>
          <w:szCs w:val="36"/>
          <w:highlight w:val="none"/>
          <w14:textFill>
            <w14:solidFill>
              <w14:schemeClr w14:val="tx1"/>
            </w14:solidFill>
          </w14:textFill>
        </w:rPr>
        <w:t>投标文件格式</w:t>
      </w:r>
    </w:p>
    <w:p>
      <w:pPr>
        <w:tabs>
          <w:tab w:val="left" w:pos="0"/>
          <w:tab w:val="left" w:pos="993"/>
          <w:tab w:val="left" w:pos="1134"/>
        </w:tabs>
        <w:adjustRightInd w:val="0"/>
        <w:snapToGrid w:val="0"/>
        <w:spacing w:line="300" w:lineRule="auto"/>
        <w:jc w:val="center"/>
        <w:rPr>
          <w:rFonts w:ascii="宋体" w:hAnsi="宋体" w:cs="宋体"/>
          <w:b/>
          <w:color w:val="000000" w:themeColor="text1"/>
          <w:sz w:val="36"/>
          <w:szCs w:val="36"/>
          <w:highlight w:val="none"/>
          <w14:textFill>
            <w14:solidFill>
              <w14:schemeClr w14:val="tx1"/>
            </w14:solidFill>
          </w14:textFill>
        </w:rPr>
      </w:pPr>
    </w:p>
    <w:p>
      <w:pPr>
        <w:tabs>
          <w:tab w:val="left" w:pos="0"/>
          <w:tab w:val="left" w:pos="993"/>
          <w:tab w:val="left" w:pos="1134"/>
        </w:tabs>
        <w:adjustRightInd w:val="0"/>
        <w:snapToGrid w:val="0"/>
        <w:spacing w:line="300" w:lineRule="auto"/>
        <w:jc w:val="center"/>
        <w:rPr>
          <w:rFonts w:ascii="宋体" w:hAnsi="宋体" w:cs="宋体"/>
          <w:b/>
          <w:snapToGrid w:val="0"/>
          <w:color w:val="000000" w:themeColor="text1"/>
          <w:sz w:val="44"/>
          <w:highlight w:val="none"/>
          <w14:textFill>
            <w14:solidFill>
              <w14:schemeClr w14:val="tx1"/>
            </w14:solidFill>
          </w14:textFill>
        </w:rPr>
      </w:pPr>
      <w:bookmarkStart w:id="162" w:name="_Toc2829_WPSOffice_Level1"/>
      <w:r>
        <w:rPr>
          <w:rFonts w:hint="eastAsia" w:ascii="宋体" w:hAnsi="宋体" w:cs="宋体"/>
          <w:color w:val="000000" w:themeColor="text1"/>
          <w:sz w:val="36"/>
          <w:highlight w:val="none"/>
          <w14:textFill>
            <w14:solidFill>
              <w14:schemeClr w14:val="tx1"/>
            </w14:solidFill>
          </w14:textFill>
        </w:rPr>
        <w:t>正本或副本</w:t>
      </w:r>
      <w:bookmarkEnd w:id="162"/>
    </w:p>
    <w:p>
      <w:pPr>
        <w:tabs>
          <w:tab w:val="left" w:pos="0"/>
          <w:tab w:val="left" w:pos="993"/>
          <w:tab w:val="left" w:pos="1134"/>
        </w:tabs>
        <w:adjustRightInd w:val="0"/>
        <w:snapToGrid w:val="0"/>
        <w:spacing w:line="300" w:lineRule="auto"/>
        <w:jc w:val="center"/>
        <w:rPr>
          <w:rFonts w:ascii="宋体" w:hAnsi="宋体" w:cs="宋体"/>
          <w:b/>
          <w:snapToGrid w:val="0"/>
          <w:color w:val="000000" w:themeColor="text1"/>
          <w:sz w:val="44"/>
          <w:highlight w:val="none"/>
          <w14:textFill>
            <w14:solidFill>
              <w14:schemeClr w14:val="tx1"/>
            </w14:solidFill>
          </w14:textFill>
        </w:rPr>
      </w:pPr>
    </w:p>
    <w:p>
      <w:pPr>
        <w:pStyle w:val="16"/>
        <w:spacing w:line="264" w:lineRule="auto"/>
        <w:jc w:val="center"/>
        <w:rPr>
          <w:rFonts w:hAnsi="宋体" w:cs="宋体"/>
          <w:color w:val="000000" w:themeColor="text1"/>
          <w:sz w:val="44"/>
          <w:highlight w:val="none"/>
          <w14:textFill>
            <w14:solidFill>
              <w14:schemeClr w14:val="tx1"/>
            </w14:solidFill>
          </w14:textFill>
        </w:rPr>
      </w:pPr>
      <w:bookmarkStart w:id="163" w:name="_Toc5211_WPSOffice_Level1"/>
      <w:r>
        <w:rPr>
          <w:rFonts w:hint="eastAsia" w:hAnsi="宋体" w:cs="宋体"/>
          <w:color w:val="000000" w:themeColor="text1"/>
          <w:sz w:val="36"/>
          <w:highlight w:val="none"/>
          <w14:textFill>
            <w14:solidFill>
              <w14:schemeClr w14:val="tx1"/>
            </w14:solidFill>
          </w14:textFill>
        </w:rPr>
        <w:t>________________________</w:t>
      </w:r>
      <w:r>
        <w:rPr>
          <w:rFonts w:hint="eastAsia" w:hAnsi="宋体" w:cs="宋体"/>
          <w:color w:val="000000" w:themeColor="text1"/>
          <w:sz w:val="44"/>
          <w:highlight w:val="none"/>
          <w14:textFill>
            <w14:solidFill>
              <w14:schemeClr w14:val="tx1"/>
            </w14:solidFill>
          </w14:textFill>
        </w:rPr>
        <w:t>项目</w:t>
      </w:r>
      <w:bookmarkEnd w:id="163"/>
    </w:p>
    <w:p>
      <w:pPr>
        <w:pStyle w:val="16"/>
        <w:spacing w:line="264" w:lineRule="auto"/>
        <w:jc w:val="center"/>
        <w:rPr>
          <w:rFonts w:hAnsi="宋体" w:cs="宋体"/>
          <w:color w:val="000000" w:themeColor="text1"/>
          <w:sz w:val="44"/>
          <w:highlight w:val="none"/>
          <w14:textFill>
            <w14:solidFill>
              <w14:schemeClr w14:val="tx1"/>
            </w14:solidFill>
          </w14:textFill>
        </w:rPr>
      </w:pPr>
    </w:p>
    <w:p>
      <w:pPr>
        <w:pStyle w:val="16"/>
        <w:spacing w:line="264" w:lineRule="auto"/>
        <w:jc w:val="center"/>
        <w:rPr>
          <w:rFonts w:hAnsi="宋体" w:cs="宋体"/>
          <w:color w:val="000000" w:themeColor="text1"/>
          <w:sz w:val="36"/>
          <w:highlight w:val="none"/>
          <w14:textFill>
            <w14:solidFill>
              <w14:schemeClr w14:val="tx1"/>
            </w14:solidFill>
          </w14:textFill>
        </w:rPr>
      </w:pPr>
    </w:p>
    <w:p>
      <w:pPr>
        <w:pStyle w:val="16"/>
        <w:spacing w:line="264" w:lineRule="auto"/>
        <w:jc w:val="center"/>
        <w:rPr>
          <w:rFonts w:hAnsi="宋体" w:cs="宋体"/>
          <w:color w:val="000000" w:themeColor="text1"/>
          <w:sz w:val="36"/>
          <w:highlight w:val="none"/>
          <w14:textFill>
            <w14:solidFill>
              <w14:schemeClr w14:val="tx1"/>
            </w14:solidFill>
          </w14:textFill>
        </w:rPr>
      </w:pPr>
    </w:p>
    <w:p>
      <w:pPr>
        <w:pStyle w:val="16"/>
        <w:spacing w:line="264" w:lineRule="auto"/>
        <w:jc w:val="center"/>
        <w:rPr>
          <w:rFonts w:hAnsi="宋体" w:cs="宋体"/>
          <w:b/>
          <w:color w:val="000000" w:themeColor="text1"/>
          <w:sz w:val="84"/>
          <w:highlight w:val="none"/>
          <w14:textFill>
            <w14:solidFill>
              <w14:schemeClr w14:val="tx1"/>
            </w14:solidFill>
          </w14:textFill>
        </w:rPr>
      </w:pPr>
      <w:bookmarkStart w:id="164" w:name="_Toc28738_WPSOffice_Level1"/>
      <w:r>
        <w:rPr>
          <w:rFonts w:hint="eastAsia" w:hAnsi="宋体" w:cs="宋体"/>
          <w:b/>
          <w:color w:val="000000" w:themeColor="text1"/>
          <w:sz w:val="84"/>
          <w:highlight w:val="none"/>
          <w14:textFill>
            <w14:solidFill>
              <w14:schemeClr w14:val="tx1"/>
            </w14:solidFill>
          </w14:textFill>
        </w:rPr>
        <w:t>投 标 文 件</w:t>
      </w:r>
      <w:bookmarkEnd w:id="164"/>
    </w:p>
    <w:p>
      <w:pPr>
        <w:pStyle w:val="16"/>
        <w:spacing w:line="264" w:lineRule="auto"/>
        <w:jc w:val="center"/>
        <w:rPr>
          <w:rFonts w:hAnsi="宋体" w:cs="宋体"/>
          <w:color w:val="000000" w:themeColor="text1"/>
          <w:sz w:val="28"/>
          <w:highlight w:val="none"/>
          <w14:textFill>
            <w14:solidFill>
              <w14:schemeClr w14:val="tx1"/>
            </w14:solidFill>
          </w14:textFill>
        </w:rPr>
      </w:pPr>
    </w:p>
    <w:p>
      <w:pPr>
        <w:pStyle w:val="16"/>
        <w:spacing w:line="264" w:lineRule="auto"/>
        <w:jc w:val="center"/>
        <w:rPr>
          <w:rFonts w:hAnsi="宋体" w:cs="宋体"/>
          <w:color w:val="000000" w:themeColor="text1"/>
          <w:sz w:val="72"/>
          <w:highlight w:val="none"/>
          <w14:textFill>
            <w14:solidFill>
              <w14:schemeClr w14:val="tx1"/>
            </w14:solidFill>
          </w14:textFill>
        </w:rPr>
      </w:pPr>
    </w:p>
    <w:p>
      <w:pPr>
        <w:pStyle w:val="16"/>
        <w:spacing w:line="480" w:lineRule="auto"/>
        <w:ind w:left="630"/>
        <w:rPr>
          <w:rFonts w:hAnsi="宋体" w:cs="宋体"/>
          <w:color w:val="000000" w:themeColor="text1"/>
          <w:sz w:val="30"/>
          <w:highlight w:val="none"/>
          <w14:textFill>
            <w14:solidFill>
              <w14:schemeClr w14:val="tx1"/>
            </w14:solidFill>
          </w14:textFill>
        </w:rPr>
      </w:pPr>
      <w:bookmarkStart w:id="165" w:name="_Toc25615_WPSOffice_Level1"/>
      <w:r>
        <w:rPr>
          <w:rFonts w:hint="eastAsia" w:hAnsi="宋体" w:cs="宋体"/>
          <w:color w:val="000000" w:themeColor="text1"/>
          <w:sz w:val="30"/>
          <w:highlight w:val="none"/>
          <w14:textFill>
            <w14:solidFill>
              <w14:schemeClr w14:val="tx1"/>
            </w14:solidFill>
          </w14:textFill>
        </w:rPr>
        <w:t>投   标   人（公章）：</w:t>
      </w:r>
      <w:bookmarkEnd w:id="165"/>
    </w:p>
    <w:p>
      <w:pPr>
        <w:pStyle w:val="16"/>
        <w:spacing w:line="480" w:lineRule="auto"/>
        <w:ind w:left="630"/>
        <w:rPr>
          <w:rFonts w:hAnsi="宋体" w:cs="宋体"/>
          <w:color w:val="000000" w:themeColor="text1"/>
          <w:sz w:val="30"/>
          <w:highlight w:val="none"/>
          <w14:textFill>
            <w14:solidFill>
              <w14:schemeClr w14:val="tx1"/>
            </w14:solidFill>
          </w14:textFill>
        </w:rPr>
      </w:pPr>
      <w:bookmarkStart w:id="166" w:name="_Toc25933_WPSOffice_Level1"/>
      <w:r>
        <w:rPr>
          <w:rFonts w:hint="eastAsia" w:hAnsi="宋体" w:cs="宋体"/>
          <w:color w:val="000000" w:themeColor="text1"/>
          <w:sz w:val="30"/>
          <w:highlight w:val="none"/>
          <w14:textFill>
            <w14:solidFill>
              <w14:schemeClr w14:val="tx1"/>
            </w14:solidFill>
          </w14:textFill>
        </w:rPr>
        <w:t>法定代表人（签字或盖章）：</w:t>
      </w:r>
    </w:p>
    <w:p>
      <w:pPr>
        <w:pStyle w:val="16"/>
        <w:spacing w:line="480" w:lineRule="auto"/>
        <w:ind w:left="630"/>
        <w:rPr>
          <w:rFonts w:hAnsi="宋体" w:cs="宋体"/>
          <w:color w:val="000000" w:themeColor="text1"/>
          <w:sz w:val="30"/>
          <w:highlight w:val="none"/>
          <w14:textFill>
            <w14:solidFill>
              <w14:schemeClr w14:val="tx1"/>
            </w14:solidFill>
          </w14:textFill>
        </w:rPr>
      </w:pPr>
      <w:r>
        <w:rPr>
          <w:rFonts w:hint="eastAsia" w:hAnsi="宋体" w:cs="宋体"/>
          <w:color w:val="000000" w:themeColor="text1"/>
          <w:sz w:val="30"/>
          <w:highlight w:val="none"/>
          <w14:textFill>
            <w14:solidFill>
              <w14:schemeClr w14:val="tx1"/>
            </w14:solidFill>
          </w14:textFill>
        </w:rPr>
        <w:t>授权委托人（签字或盖章）：</w:t>
      </w:r>
      <w:bookmarkEnd w:id="166"/>
    </w:p>
    <w:p>
      <w:pPr>
        <w:pStyle w:val="16"/>
        <w:spacing w:line="480" w:lineRule="auto"/>
        <w:ind w:left="630"/>
        <w:rPr>
          <w:rFonts w:hAnsi="宋体" w:cs="宋体"/>
          <w:color w:val="000000" w:themeColor="text1"/>
          <w:sz w:val="30"/>
          <w:highlight w:val="none"/>
          <w14:textFill>
            <w14:solidFill>
              <w14:schemeClr w14:val="tx1"/>
            </w14:solidFill>
          </w14:textFill>
        </w:rPr>
      </w:pPr>
      <w:bookmarkStart w:id="167" w:name="_Toc12816_WPSOffice_Level1"/>
      <w:r>
        <w:rPr>
          <w:rFonts w:hint="eastAsia" w:hAnsi="宋体" w:cs="宋体"/>
          <w:color w:val="000000" w:themeColor="text1"/>
          <w:sz w:val="30"/>
          <w:highlight w:val="none"/>
          <w14:textFill>
            <w14:solidFill>
              <w14:schemeClr w14:val="tx1"/>
            </w14:solidFill>
          </w14:textFill>
        </w:rPr>
        <w:t>联系人：</w:t>
      </w:r>
      <w:bookmarkEnd w:id="167"/>
    </w:p>
    <w:p>
      <w:pPr>
        <w:pStyle w:val="16"/>
        <w:spacing w:line="480" w:lineRule="auto"/>
        <w:ind w:left="630"/>
        <w:rPr>
          <w:rFonts w:hAnsi="宋体" w:cs="宋体"/>
          <w:color w:val="000000" w:themeColor="text1"/>
          <w:sz w:val="30"/>
          <w:highlight w:val="none"/>
          <w14:textFill>
            <w14:solidFill>
              <w14:schemeClr w14:val="tx1"/>
            </w14:solidFill>
          </w14:textFill>
        </w:rPr>
      </w:pPr>
      <w:bookmarkStart w:id="168" w:name="_Toc26371_WPSOffice_Level1"/>
      <w:r>
        <w:rPr>
          <w:rFonts w:hint="eastAsia" w:hAnsi="宋体" w:cs="宋体"/>
          <w:color w:val="000000" w:themeColor="text1"/>
          <w:sz w:val="30"/>
          <w:highlight w:val="none"/>
          <w14:textFill>
            <w14:solidFill>
              <w14:schemeClr w14:val="tx1"/>
            </w14:solidFill>
          </w14:textFill>
        </w:rPr>
        <w:t>联系电话：</w:t>
      </w:r>
      <w:bookmarkEnd w:id="168"/>
    </w:p>
    <w:p>
      <w:pPr>
        <w:pStyle w:val="16"/>
        <w:spacing w:line="480" w:lineRule="auto"/>
        <w:ind w:left="630"/>
        <w:rPr>
          <w:rFonts w:hAnsi="宋体" w:cs="宋体"/>
          <w:color w:val="000000" w:themeColor="text1"/>
          <w:sz w:val="30"/>
          <w:highlight w:val="none"/>
          <w14:textFill>
            <w14:solidFill>
              <w14:schemeClr w14:val="tx1"/>
            </w14:solidFill>
          </w14:textFill>
        </w:rPr>
      </w:pPr>
      <w:r>
        <w:rPr>
          <w:rFonts w:hint="eastAsia" w:hAnsi="宋体" w:cs="宋体"/>
          <w:color w:val="000000" w:themeColor="text1"/>
          <w:sz w:val="30"/>
          <w:highlight w:val="none"/>
          <w14:textFill>
            <w14:solidFill>
              <w14:schemeClr w14:val="tx1"/>
            </w14:solidFill>
          </w14:textFill>
        </w:rPr>
        <w:t>邮政编码：</w:t>
      </w:r>
    </w:p>
    <w:p>
      <w:pPr>
        <w:pStyle w:val="16"/>
        <w:spacing w:line="480" w:lineRule="auto"/>
        <w:ind w:left="630"/>
        <w:rPr>
          <w:rFonts w:hAnsi="宋体" w:cs="宋体"/>
          <w:color w:val="000000" w:themeColor="text1"/>
          <w:sz w:val="30"/>
          <w:highlight w:val="none"/>
          <w14:textFill>
            <w14:solidFill>
              <w14:schemeClr w14:val="tx1"/>
            </w14:solidFill>
          </w14:textFill>
        </w:rPr>
      </w:pPr>
      <w:bookmarkStart w:id="169" w:name="_Toc4195_WPSOffice_Level1"/>
      <w:r>
        <w:rPr>
          <w:rFonts w:hint="eastAsia" w:hAnsi="宋体" w:cs="宋体"/>
          <w:color w:val="000000" w:themeColor="text1"/>
          <w:sz w:val="30"/>
          <w:highlight w:val="none"/>
          <w14:textFill>
            <w14:solidFill>
              <w14:schemeClr w14:val="tx1"/>
            </w14:solidFill>
          </w14:textFill>
        </w:rPr>
        <w:t>地址：</w:t>
      </w:r>
      <w:bookmarkEnd w:id="169"/>
    </w:p>
    <w:p>
      <w:pPr>
        <w:tabs>
          <w:tab w:val="left" w:pos="0"/>
          <w:tab w:val="left" w:pos="993"/>
          <w:tab w:val="left" w:pos="1134"/>
        </w:tabs>
        <w:adjustRightInd w:val="0"/>
        <w:snapToGrid w:val="0"/>
        <w:spacing w:line="480" w:lineRule="auto"/>
        <w:ind w:firstLine="600" w:firstLineChars="200"/>
        <w:rPr>
          <w:rFonts w:ascii="宋体" w:hAnsi="宋体" w:cs="宋体"/>
          <w:color w:val="000000" w:themeColor="text1"/>
          <w:sz w:val="30"/>
          <w:highlight w:val="none"/>
          <w14:textFill>
            <w14:solidFill>
              <w14:schemeClr w14:val="tx1"/>
            </w14:solidFill>
          </w14:textFill>
        </w:rPr>
      </w:pPr>
      <w:bookmarkStart w:id="170" w:name="_Toc11726_WPSOffice_Level1"/>
      <w:r>
        <w:rPr>
          <w:rFonts w:hint="eastAsia" w:ascii="宋体" w:hAnsi="宋体" w:cs="宋体"/>
          <w:color w:val="000000" w:themeColor="text1"/>
          <w:sz w:val="30"/>
          <w:highlight w:val="none"/>
          <w14:textFill>
            <w14:solidFill>
              <w14:schemeClr w14:val="tx1"/>
            </w14:solidFill>
          </w14:textFill>
        </w:rPr>
        <w:t>日期：__________年__________月____________日</w:t>
      </w:r>
      <w:bookmarkEnd w:id="170"/>
    </w:p>
    <w:p>
      <w:pPr>
        <w:spacing w:line="360" w:lineRule="auto"/>
        <w:ind w:firstLine="1020" w:firstLineChars="254"/>
        <w:jc w:val="center"/>
        <w:rPr>
          <w:rFonts w:ascii="宋体" w:hAnsi="宋体" w:cs="宋体"/>
          <w:b/>
          <w:color w:val="000000" w:themeColor="text1"/>
          <w:sz w:val="40"/>
          <w:szCs w:val="40"/>
          <w:highlight w:val="none"/>
          <w14:textFill>
            <w14:solidFill>
              <w14:schemeClr w14:val="tx1"/>
            </w14:solidFill>
          </w14:textFill>
        </w:rPr>
      </w:pPr>
      <w:bookmarkStart w:id="171" w:name="_Toc29275_WPSOffice_Level1"/>
      <w:r>
        <w:rPr>
          <w:rFonts w:hint="eastAsia" w:ascii="宋体" w:hAnsi="宋体" w:cs="宋体"/>
          <w:b/>
          <w:color w:val="000000" w:themeColor="text1"/>
          <w:sz w:val="40"/>
          <w:szCs w:val="40"/>
          <w:highlight w:val="none"/>
          <w14:textFill>
            <w14:solidFill>
              <w14:schemeClr w14:val="tx1"/>
            </w14:solidFill>
          </w14:textFill>
        </w:rPr>
        <w:t>目   录</w:t>
      </w:r>
      <w:bookmarkEnd w:id="171"/>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投标文件须按以下顺序编制并编列页码（以下内容包含但不限于）：</w:t>
      </w:r>
    </w:p>
    <w:p>
      <w:pPr>
        <w:autoSpaceDE w:val="0"/>
        <w:autoSpaceDN w:val="0"/>
        <w:spacing w:line="500" w:lineRule="exact"/>
        <w:textAlignment w:val="bottom"/>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一、商务部分</w:t>
      </w:r>
    </w:p>
    <w:p>
      <w:pPr>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（1）投标函（附件1）</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（2）法定代表人身份证明书、授权委托书（附件2、附件3）</w:t>
      </w:r>
    </w:p>
    <w:p>
      <w:pPr>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（3）开标一览表（附件4）</w:t>
      </w:r>
    </w:p>
    <w:p>
      <w:pPr>
        <w:tabs>
          <w:tab w:val="left" w:pos="126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（4）企业营业执照、企业税务登记证、企业组织机构代码证（如已三证合一的投标人仅需提供营业执照）（复印件加盖公章）（附件5）</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（5）企业实力（评分标准）</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（6）项目业绩（附件6）</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二、技术部分（有附件的请按附件格式填写，未给定格式的请投标人自拟）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（1）管理制度（人员管理）</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（2）项目机构设置（项目团队）</w:t>
      </w:r>
    </w:p>
    <w:p>
      <w:pPr>
        <w:tabs>
          <w:tab w:val="left" w:pos="540"/>
          <w:tab w:val="left" w:pos="900"/>
        </w:tabs>
        <w:autoSpaceDE w:val="0"/>
        <w:autoSpaceDN w:val="0"/>
        <w:spacing w:line="500" w:lineRule="exact"/>
        <w:textAlignment w:val="bottom"/>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（3）应急服务措施</w:t>
      </w:r>
    </w:p>
    <w:p>
      <w:pPr>
        <w:tabs>
          <w:tab w:val="left" w:pos="540"/>
          <w:tab w:val="left" w:pos="900"/>
        </w:tabs>
        <w:autoSpaceDE w:val="0"/>
        <w:autoSpaceDN w:val="0"/>
        <w:spacing w:line="500" w:lineRule="exact"/>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三、其他</w:t>
      </w:r>
    </w:p>
    <w:p>
      <w:pPr>
        <w:tabs>
          <w:tab w:val="left" w:pos="540"/>
          <w:tab w:val="left" w:pos="900"/>
        </w:tabs>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（1）安全运营责任书（附件7）</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（2）</w:t>
      </w:r>
      <w:r>
        <w:rPr>
          <w:rFonts w:hint="eastAsia" w:ascii="宋体" w:hAnsi="宋体" w:cs="宋体"/>
          <w:color w:val="000000" w:themeColor="text1"/>
          <w:sz w:val="24"/>
          <w:szCs w:val="22"/>
          <w:highlight w:val="none"/>
          <w:lang w:val="zh-CN"/>
          <w14:textFill>
            <w14:solidFill>
              <w14:schemeClr w14:val="tx1"/>
            </w14:solidFill>
          </w14:textFill>
        </w:rPr>
        <w:t>投标人诚信保证书</w:t>
      </w:r>
      <w:r>
        <w:rPr>
          <w:rFonts w:hint="eastAsia" w:ascii="宋体" w:hAnsi="宋体" w:cs="宋体"/>
          <w:color w:val="000000" w:themeColor="text1"/>
          <w:sz w:val="24"/>
          <w:szCs w:val="22"/>
          <w:highlight w:val="none"/>
          <w14:textFill>
            <w14:solidFill>
              <w14:schemeClr w14:val="tx1"/>
            </w14:solidFill>
          </w14:textFill>
        </w:rPr>
        <w:t>（附件8）</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（3）廉洁承诺书（附件9）</w:t>
      </w:r>
    </w:p>
    <w:p>
      <w:pPr>
        <w:autoSpaceDE w:val="0"/>
        <w:autoSpaceDN w:val="0"/>
        <w:spacing w:line="500" w:lineRule="exact"/>
        <w:textAlignment w:val="bottom"/>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（4）</w:t>
      </w:r>
      <w:r>
        <w:rPr>
          <w:rFonts w:hint="eastAsia" w:ascii="宋体" w:hAnsi="宋体" w:cs="宋体"/>
          <w:color w:val="000000" w:themeColor="text1"/>
          <w:sz w:val="24"/>
          <w:szCs w:val="28"/>
          <w:highlight w:val="none"/>
          <w14:textFill>
            <w14:solidFill>
              <w14:schemeClr w14:val="tx1"/>
            </w14:solidFill>
          </w14:textFill>
        </w:rPr>
        <w:t>其他证明材料</w:t>
      </w:r>
      <w:r>
        <w:rPr>
          <w:rFonts w:hint="eastAsia" w:ascii="宋体" w:hAnsi="宋体" w:cs="宋体"/>
          <w:color w:val="000000" w:themeColor="text1"/>
          <w:sz w:val="24"/>
          <w:szCs w:val="22"/>
          <w:highlight w:val="none"/>
          <w14:textFill>
            <w14:solidFill>
              <w14:schemeClr w14:val="tx1"/>
            </w14:solidFill>
          </w14:textFill>
        </w:rPr>
        <w:t>（附件10）</w:t>
      </w: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16"/>
        <w:adjustRightInd w:val="0"/>
        <w:snapToGrid w:val="0"/>
        <w:spacing w:line="500" w:lineRule="exact"/>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 xml:space="preserve">附件1  </w:t>
      </w:r>
    </w:p>
    <w:p>
      <w:pPr>
        <w:pStyle w:val="16"/>
        <w:adjustRightInd w:val="0"/>
        <w:snapToGrid w:val="0"/>
        <w:spacing w:line="500" w:lineRule="exact"/>
        <w:jc w:val="left"/>
        <w:rPr>
          <w:rFonts w:hAnsi="宋体"/>
          <w:b/>
          <w:bCs/>
          <w:color w:val="000000" w:themeColor="text1"/>
          <w:sz w:val="28"/>
          <w:szCs w:val="28"/>
          <w:highlight w:val="none"/>
          <w14:textFill>
            <w14:solidFill>
              <w14:schemeClr w14:val="tx1"/>
            </w14:solidFill>
          </w14:textFill>
        </w:rPr>
      </w:pPr>
    </w:p>
    <w:p>
      <w:pPr>
        <w:pStyle w:val="16"/>
        <w:adjustRightInd w:val="0"/>
        <w:snapToGrid w:val="0"/>
        <w:spacing w:line="360" w:lineRule="auto"/>
        <w:jc w:val="center"/>
        <w:rPr>
          <w:rFonts w:hAnsi="宋体"/>
          <w:b/>
          <w:bCs/>
          <w:color w:val="000000" w:themeColor="text1"/>
          <w:sz w:val="28"/>
          <w:szCs w:val="28"/>
          <w:highlight w:val="none"/>
          <w14:textFill>
            <w14:solidFill>
              <w14:schemeClr w14:val="tx1"/>
            </w14:solidFill>
          </w14:textFill>
        </w:rPr>
      </w:pPr>
      <w:bookmarkStart w:id="172" w:name="_Toc4164_WPSOffice_Level1"/>
      <w:r>
        <w:rPr>
          <w:rFonts w:hint="eastAsia" w:hAnsi="宋体"/>
          <w:b/>
          <w:bCs/>
          <w:color w:val="000000" w:themeColor="text1"/>
          <w:sz w:val="28"/>
          <w:szCs w:val="28"/>
          <w:highlight w:val="none"/>
          <w14:textFill>
            <w14:solidFill>
              <w14:schemeClr w14:val="tx1"/>
            </w14:solidFill>
          </w14:textFill>
        </w:rPr>
        <w:t>投   标   函</w:t>
      </w:r>
      <w:bookmarkEnd w:id="172"/>
    </w:p>
    <w:p>
      <w:pPr>
        <w:pStyle w:val="54"/>
        <w:adjustRightInd w:val="0"/>
        <w:snapToGrid w:val="0"/>
        <w:spacing w:line="500" w:lineRule="exact"/>
        <w:jc w:val="left"/>
        <w:textAlignment w:val="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江苏煤炭地质物测队:</w:t>
      </w:r>
    </w:p>
    <w:p>
      <w:pPr>
        <w:spacing w:line="500" w:lineRule="exact"/>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1．我方已仔细研究了（项目名称）招标文件的全部内容，愿意以人民币（</w:t>
      </w:r>
      <w:r>
        <w:rPr>
          <w:rFonts w:hint="eastAsia" w:ascii="宋体" w:hAnsi="宋体" w:cs="宋体"/>
          <w:color w:val="000000" w:themeColor="text1"/>
          <w:sz w:val="24"/>
          <w:szCs w:val="21"/>
          <w:highlight w:val="none"/>
          <w14:textFill>
            <w14:solidFill>
              <w14:schemeClr w14:val="tx1"/>
            </w14:solidFill>
          </w14:textFill>
        </w:rPr>
        <w:t>大写</w:t>
      </w:r>
      <w:r>
        <w:rPr>
          <w:rFonts w:hint="eastAsia" w:ascii="宋体" w:hAnsi="宋体" w:cs="Arial"/>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）(不含税)的投标总报价，完工时间</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，按合同约定实施和完成承包项目，修补项目中的任何缺陷，质量标准</w:t>
      </w:r>
      <w:r>
        <w:rPr>
          <w:rFonts w:hint="eastAsia" w:ascii="宋体" w:hAnsi="宋体" w:cs="宋体"/>
          <w:color w:val="000000" w:themeColor="text1"/>
          <w:sz w:val="24"/>
          <w:szCs w:val="21"/>
          <w:highlight w:val="none"/>
          <w:u w:val="single"/>
          <w14:textFill>
            <w14:solidFill>
              <w14:schemeClr w14:val="tx1"/>
            </w14:solidFill>
          </w14:textFill>
        </w:rPr>
        <w:t xml:space="preserve">           </w:t>
      </w:r>
      <w:r>
        <w:rPr>
          <w:rFonts w:hint="eastAsia" w:ascii="宋体" w:hAnsi="宋体" w:cs="宋体"/>
          <w:color w:val="000000" w:themeColor="text1"/>
          <w:sz w:val="24"/>
          <w:szCs w:val="21"/>
          <w:highlight w:val="none"/>
          <w14:textFill>
            <w14:solidFill>
              <w14:schemeClr w14:val="tx1"/>
            </w14:solidFill>
          </w14:textFill>
        </w:rPr>
        <w:t xml:space="preserve"> 。</w:t>
      </w:r>
    </w:p>
    <w:p>
      <w:pPr>
        <w:spacing w:line="500" w:lineRule="exact"/>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2．我方保证在投标有效期内不修改、撤销投标文件。</w:t>
      </w:r>
    </w:p>
    <w:p>
      <w:pPr>
        <w:spacing w:line="500" w:lineRule="exact"/>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3．如我方中标：</w:t>
      </w:r>
    </w:p>
    <w:p>
      <w:pPr>
        <w:spacing w:line="500" w:lineRule="exact"/>
        <w:ind w:firstLine="820" w:firstLineChars="342"/>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（1）我方保证在收到中标通知书后，在中标通知书规定的期限内与你方签订合同。</w:t>
      </w:r>
    </w:p>
    <w:p>
      <w:pPr>
        <w:spacing w:line="500" w:lineRule="exact"/>
        <w:ind w:firstLine="820" w:firstLineChars="342"/>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（2）随同本投标函递交的投标函附录属于合同文件的组成部分。</w:t>
      </w:r>
    </w:p>
    <w:p>
      <w:pPr>
        <w:spacing w:line="500" w:lineRule="exact"/>
        <w:ind w:firstLine="820" w:firstLineChars="342"/>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（3）我方保证按照招标文件规定向你方递交履约保证金（如有）。</w:t>
      </w:r>
    </w:p>
    <w:p>
      <w:pPr>
        <w:spacing w:line="500" w:lineRule="exact"/>
        <w:ind w:firstLine="820" w:firstLineChars="342"/>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（4）我方保证在合同约定的期限内完成并移交全部合同工程。</w:t>
      </w:r>
    </w:p>
    <w:p>
      <w:pPr>
        <w:spacing w:line="500" w:lineRule="exact"/>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我方在此声明，所递交的投标文件及有关资料内容完整、真实和准确。</w:t>
      </w:r>
    </w:p>
    <w:p>
      <w:pPr>
        <w:spacing w:line="500" w:lineRule="exact"/>
        <w:ind w:firstLine="480" w:firstLineChars="2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5．（其他补充说明）。</w:t>
      </w:r>
    </w:p>
    <w:p>
      <w:pPr>
        <w:spacing w:line="500" w:lineRule="exact"/>
        <w:rPr>
          <w:rFonts w:ascii="宋体" w:hAnsi="宋体" w:cs="宋体"/>
          <w:color w:val="000000" w:themeColor="text1"/>
          <w:sz w:val="24"/>
          <w:szCs w:val="21"/>
          <w:highlight w:val="none"/>
          <w14:textFill>
            <w14:solidFill>
              <w14:schemeClr w14:val="tx1"/>
            </w14:solidFill>
          </w14:textFill>
        </w:rPr>
      </w:pPr>
    </w:p>
    <w:p>
      <w:pPr>
        <w:spacing w:line="500" w:lineRule="exact"/>
        <w:rPr>
          <w:rFonts w:ascii="宋体" w:hAnsi="宋体" w:cs="宋体"/>
          <w:color w:val="000000" w:themeColor="text1"/>
          <w:sz w:val="24"/>
          <w:szCs w:val="21"/>
          <w:highlight w:val="none"/>
          <w14:textFill>
            <w14:solidFill>
              <w14:schemeClr w14:val="tx1"/>
            </w14:solidFill>
          </w14:textFill>
        </w:rPr>
      </w:pPr>
    </w:p>
    <w:p>
      <w:pPr>
        <w:spacing w:line="500" w:lineRule="exac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投 标 人：（盖单位章）</w:t>
      </w:r>
    </w:p>
    <w:p>
      <w:pPr>
        <w:spacing w:line="500" w:lineRule="exact"/>
        <w:ind w:left="4080" w:hanging="4080" w:hangingChars="1700"/>
        <w:jc w:val="center"/>
        <w:rPr>
          <w:rFonts w:ascii="宋体" w:hAnsi="宋体" w:cs="宋体"/>
          <w:color w:val="000000" w:themeColor="text1"/>
          <w:sz w:val="24"/>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法定代表人签字或盖章/授权委托人签字</w:t>
      </w:r>
      <w:r>
        <w:rPr>
          <w:rFonts w:hint="eastAsia" w:ascii="宋体" w:hAnsi="宋体" w:cs="宋体"/>
          <w:color w:val="000000" w:themeColor="text1"/>
          <w:sz w:val="24"/>
          <w:szCs w:val="21"/>
          <w:highlight w:val="none"/>
          <w14:textFill>
            <w14:solidFill>
              <w14:schemeClr w14:val="tx1"/>
            </w14:solidFill>
          </w14:textFill>
        </w:rPr>
        <w:t>：</w:t>
      </w:r>
    </w:p>
    <w:p>
      <w:pPr>
        <w:spacing w:line="500" w:lineRule="exact"/>
        <w:ind w:firstLine="3360" w:firstLineChars="1400"/>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地址：</w:t>
      </w:r>
    </w:p>
    <w:p>
      <w:pPr>
        <w:spacing w:line="500" w:lineRule="exac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电话：</w:t>
      </w:r>
    </w:p>
    <w:p>
      <w:pPr>
        <w:tabs>
          <w:tab w:val="left" w:pos="540"/>
          <w:tab w:val="left" w:pos="900"/>
        </w:tabs>
        <w:autoSpaceDE w:val="0"/>
        <w:autoSpaceDN w:val="0"/>
        <w:spacing w:line="500" w:lineRule="exact"/>
        <w:ind w:firstLine="4560" w:firstLineChars="1900"/>
        <w:textAlignment w:val="bottom"/>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    年  月  日</w:t>
      </w:r>
      <w:r>
        <w:rPr>
          <w:rFonts w:hint="eastAsia" w:ascii="宋体" w:hAnsi="宋体" w:cs="宋体"/>
          <w:color w:val="000000" w:themeColor="text1"/>
          <w:sz w:val="24"/>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 xml:space="preserve">附件2  </w:t>
      </w:r>
      <w:r>
        <w:rPr>
          <w:rFonts w:hint="eastAsia" w:ascii="宋体" w:hAnsi="宋体" w:cs="宋体"/>
          <w:b/>
          <w:bCs/>
          <w:color w:val="000000" w:themeColor="text1"/>
          <w:sz w:val="28"/>
          <w:szCs w:val="28"/>
          <w:highlight w:val="none"/>
          <w14:textFill>
            <w14:solidFill>
              <w14:schemeClr w14:val="tx1"/>
            </w14:solidFill>
          </w14:textFill>
        </w:rPr>
        <w:t>法定代表人身份证明书、授权委托书</w:t>
      </w:r>
    </w:p>
    <w:p>
      <w:pPr>
        <w:spacing w:line="600" w:lineRule="exact"/>
        <w:jc w:val="center"/>
        <w:rPr>
          <w:rFonts w:ascii="宋体" w:hAnsi="宋体"/>
          <w:b/>
          <w:bCs/>
          <w:color w:val="000000" w:themeColor="text1"/>
          <w:sz w:val="28"/>
          <w:szCs w:val="28"/>
          <w:highlight w:val="none"/>
          <w14:textFill>
            <w14:solidFill>
              <w14:schemeClr w14:val="tx1"/>
            </w14:solidFill>
          </w14:textFill>
        </w:rPr>
      </w:pPr>
      <w:bookmarkStart w:id="173" w:name="_Toc19614_WPSOffice_Level1"/>
      <w:r>
        <w:rPr>
          <w:rFonts w:hint="eastAsia" w:ascii="宋体" w:hAnsi="宋体"/>
          <w:b/>
          <w:bCs/>
          <w:color w:val="000000" w:themeColor="text1"/>
          <w:sz w:val="28"/>
          <w:szCs w:val="28"/>
          <w:highlight w:val="none"/>
          <w14:textFill>
            <w14:solidFill>
              <w14:schemeClr w14:val="tx1"/>
            </w14:solidFill>
          </w14:textFill>
        </w:rPr>
        <w:t>法定代表人身份证明书</w:t>
      </w:r>
      <w:bookmarkEnd w:id="173"/>
    </w:p>
    <w:p>
      <w:pPr>
        <w:spacing w:line="600" w:lineRule="exact"/>
        <w:rPr>
          <w:rFonts w:ascii="宋体" w:hAnsi="宋体"/>
          <w:b/>
          <w:color w:val="000000" w:themeColor="text1"/>
          <w:highlight w:val="none"/>
          <w14:textFill>
            <w14:solidFill>
              <w14:schemeClr w14:val="tx1"/>
            </w14:solidFill>
          </w14:textFill>
        </w:rPr>
      </w:pPr>
    </w:p>
    <w:p>
      <w:pPr>
        <w:spacing w:line="600" w:lineRule="exact"/>
        <w:ind w:firstLine="54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r>
        <w:rPr>
          <w:rFonts w:hint="eastAsia" w:ascii="宋体" w:hAnsi="宋体"/>
          <w:color w:val="000000" w:themeColor="text1"/>
          <w:sz w:val="24"/>
          <w:highlight w:val="none"/>
          <w:u w:val="single"/>
          <w14:textFill>
            <w14:solidFill>
              <w14:schemeClr w14:val="tx1"/>
            </w14:solidFill>
          </w14:textFill>
        </w:rPr>
        <w:tab/>
      </w:r>
    </w:p>
    <w:p>
      <w:pPr>
        <w:spacing w:line="60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单位性质：</w:t>
      </w:r>
      <w:r>
        <w:rPr>
          <w:rFonts w:hint="eastAsia" w:ascii="宋体" w:hAnsi="宋体"/>
          <w:color w:val="000000" w:themeColor="text1"/>
          <w:sz w:val="24"/>
          <w:highlight w:val="none"/>
          <w:u w:val="single"/>
          <w14:textFill>
            <w14:solidFill>
              <w14:schemeClr w14:val="tx1"/>
            </w14:solidFill>
          </w14:textFill>
        </w:rPr>
        <w:tab/>
      </w:r>
    </w:p>
    <w:p>
      <w:pPr>
        <w:spacing w:line="600" w:lineRule="exact"/>
        <w:ind w:firstLine="54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ab/>
      </w:r>
    </w:p>
    <w:p>
      <w:pPr>
        <w:spacing w:line="60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成立时间：年月日</w:t>
      </w:r>
    </w:p>
    <w:p>
      <w:pPr>
        <w:spacing w:line="60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经营期限：</w:t>
      </w:r>
      <w:r>
        <w:rPr>
          <w:rFonts w:hint="eastAsia" w:ascii="宋体" w:hAnsi="宋体"/>
          <w:color w:val="000000" w:themeColor="text1"/>
          <w:sz w:val="24"/>
          <w:highlight w:val="none"/>
          <w:u w:val="single"/>
          <w14:textFill>
            <w14:solidFill>
              <w14:schemeClr w14:val="tx1"/>
            </w14:solidFill>
          </w14:textFill>
        </w:rPr>
        <w:tab/>
      </w:r>
    </w:p>
    <w:p>
      <w:pPr>
        <w:spacing w:line="60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 性  别：</w:t>
      </w:r>
      <w:r>
        <w:rPr>
          <w:rFonts w:hint="eastAsia"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u w:val="single"/>
          <w14:textFill>
            <w14:solidFill>
              <w14:schemeClr w14:val="tx1"/>
            </w14:solidFill>
          </w14:textFill>
        </w:rPr>
        <w:tab/>
      </w:r>
    </w:p>
    <w:p>
      <w:pPr>
        <w:spacing w:line="600" w:lineRule="exact"/>
        <w:ind w:firstLine="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 职  务：</w:t>
      </w:r>
      <w:r>
        <w:rPr>
          <w:rFonts w:hint="eastAsia" w:ascii="宋体" w:hAnsi="宋体"/>
          <w:color w:val="000000" w:themeColor="text1"/>
          <w:sz w:val="24"/>
          <w:highlight w:val="none"/>
          <w:u w:val="single"/>
          <w14:textFill>
            <w14:solidFill>
              <w14:schemeClr w14:val="tx1"/>
            </w14:solidFill>
          </w14:textFill>
        </w:rPr>
        <w:tab/>
      </w:r>
      <w:r>
        <w:rPr>
          <w:rFonts w:hint="eastAsia" w:ascii="宋体" w:hAnsi="宋体"/>
          <w:color w:val="000000" w:themeColor="text1"/>
          <w:sz w:val="24"/>
          <w:highlight w:val="none"/>
          <w:u w:val="single"/>
          <w14:textFill>
            <w14:solidFill>
              <w14:schemeClr w14:val="tx1"/>
            </w14:solidFill>
          </w14:textFill>
        </w:rPr>
        <w:tab/>
      </w:r>
    </w:p>
    <w:p>
      <w:pPr>
        <w:spacing w:line="6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系的法定代表人。</w:t>
      </w:r>
    </w:p>
    <w:p>
      <w:pPr>
        <w:spacing w:line="600" w:lineRule="exact"/>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高邮、宝应、溧水等3个区域内日常业务服务项目项目</w:t>
      </w:r>
    </w:p>
    <w:tbl>
      <w:tblPr>
        <w:tblStyle w:val="34"/>
        <w:tblpPr w:leftFromText="180" w:rightFromText="180" w:vertAnchor="text" w:horzAnchor="page" w:tblpX="2318" w:tblpY="311"/>
        <w:tblOverlap w:val="never"/>
        <w:tblW w:w="5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5560" w:type="dxa"/>
            <w:noWrap/>
            <w:vAlign w:val="center"/>
          </w:tcPr>
          <w:p>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法定代表人身份证复印件正、反面</w:t>
            </w:r>
          </w:p>
        </w:tc>
      </w:tr>
    </w:tbl>
    <w:p>
      <w:pPr>
        <w:spacing w:line="600" w:lineRule="exact"/>
        <w:ind w:firstLine="610"/>
        <w:rPr>
          <w:rFonts w:ascii="宋体" w:hAnsi="宋体"/>
          <w:color w:val="000000" w:themeColor="text1"/>
          <w:sz w:val="24"/>
          <w:highlight w:val="none"/>
          <w:u w:val="single"/>
          <w14:textFill>
            <w14:solidFill>
              <w14:schemeClr w14:val="tx1"/>
            </w14:solidFill>
          </w14:textFill>
        </w:rPr>
      </w:pPr>
    </w:p>
    <w:p>
      <w:pPr>
        <w:spacing w:line="600" w:lineRule="exact"/>
        <w:rPr>
          <w:rFonts w:ascii="宋体" w:hAnsi="宋体"/>
          <w:color w:val="000000" w:themeColor="text1"/>
          <w:sz w:val="24"/>
          <w:highlight w:val="none"/>
          <w14:textFill>
            <w14:solidFill>
              <w14:schemeClr w14:val="tx1"/>
            </w14:solidFill>
          </w14:textFill>
        </w:rPr>
      </w:pPr>
    </w:p>
    <w:p>
      <w:pPr>
        <w:tabs>
          <w:tab w:val="left" w:pos="720"/>
          <w:tab w:val="left" w:pos="900"/>
        </w:tabs>
        <w:spacing w:line="600" w:lineRule="exact"/>
        <w:ind w:firstLine="2880" w:firstLineChars="1200"/>
        <w:rPr>
          <w:rFonts w:ascii="宋体" w:hAnsi="宋体"/>
          <w:color w:val="000000" w:themeColor="text1"/>
          <w:sz w:val="24"/>
          <w:highlight w:val="none"/>
          <w14:textFill>
            <w14:solidFill>
              <w14:schemeClr w14:val="tx1"/>
            </w14:solidFill>
          </w14:textFill>
        </w:rPr>
      </w:pPr>
    </w:p>
    <w:p>
      <w:pPr>
        <w:tabs>
          <w:tab w:val="left" w:pos="720"/>
          <w:tab w:val="left" w:pos="900"/>
        </w:tabs>
        <w:spacing w:line="600" w:lineRule="exact"/>
        <w:ind w:firstLine="2880" w:firstLineChars="1200"/>
        <w:rPr>
          <w:rFonts w:ascii="宋体" w:hAnsi="宋体"/>
          <w:color w:val="000000" w:themeColor="text1"/>
          <w:sz w:val="24"/>
          <w:highlight w:val="none"/>
          <w14:textFill>
            <w14:solidFill>
              <w14:schemeClr w14:val="tx1"/>
            </w14:solidFill>
          </w14:textFill>
        </w:rPr>
      </w:pPr>
    </w:p>
    <w:p>
      <w:pPr>
        <w:tabs>
          <w:tab w:val="left" w:pos="720"/>
          <w:tab w:val="left" w:pos="900"/>
        </w:tabs>
        <w:spacing w:line="600" w:lineRule="exact"/>
        <w:rPr>
          <w:rFonts w:ascii="宋体" w:hAnsi="宋体"/>
          <w:color w:val="000000" w:themeColor="text1"/>
          <w:sz w:val="24"/>
          <w:highlight w:val="none"/>
          <w14:textFill>
            <w14:solidFill>
              <w14:schemeClr w14:val="tx1"/>
            </w14:solidFill>
          </w14:textFill>
        </w:rPr>
      </w:pPr>
    </w:p>
    <w:p>
      <w:pPr>
        <w:tabs>
          <w:tab w:val="left" w:pos="720"/>
          <w:tab w:val="left" w:pos="900"/>
        </w:tabs>
        <w:spacing w:line="6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特此证明。       </w:t>
      </w:r>
    </w:p>
    <w:p>
      <w:pPr>
        <w:tabs>
          <w:tab w:val="left" w:pos="720"/>
          <w:tab w:val="left" w:pos="900"/>
        </w:tabs>
        <w:spacing w:line="600" w:lineRule="exact"/>
        <w:ind w:firstLine="4800" w:firstLineChars="2000"/>
        <w:rPr>
          <w:rFonts w:ascii="宋体" w:hAnsi="宋体"/>
          <w:color w:val="000000" w:themeColor="text1"/>
          <w:sz w:val="24"/>
          <w:highlight w:val="none"/>
          <w14:textFill>
            <w14:solidFill>
              <w14:schemeClr w14:val="tx1"/>
            </w14:solidFill>
          </w14:textFill>
        </w:rPr>
      </w:pPr>
    </w:p>
    <w:p>
      <w:pPr>
        <w:tabs>
          <w:tab w:val="left" w:pos="720"/>
          <w:tab w:val="left" w:pos="900"/>
        </w:tabs>
        <w:spacing w:line="600" w:lineRule="exact"/>
        <w:ind w:firstLine="4800" w:firstLineChars="20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人：（盖公章）</w:t>
      </w:r>
    </w:p>
    <w:p>
      <w:pPr>
        <w:ind w:firstLine="4800" w:firstLineChars="2000"/>
        <w:rPr>
          <w:rFonts w:ascii="宋体" w:hAnsi="宋体"/>
          <w:color w:val="000000" w:themeColor="text1"/>
          <w:sz w:val="24"/>
          <w:highlight w:val="none"/>
          <w14:textFill>
            <w14:solidFill>
              <w14:schemeClr w14:val="tx1"/>
            </w14:solidFill>
          </w14:textFill>
        </w:rPr>
      </w:pPr>
    </w:p>
    <w:p>
      <w:pPr>
        <w:ind w:firstLine="4800" w:firstLineChars="2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法定代表人签字或盖章</w:t>
      </w:r>
    </w:p>
    <w:p>
      <w:pPr>
        <w:rPr>
          <w:rFonts w:ascii="宋体" w:hAnsi="宋体"/>
          <w:color w:val="000000" w:themeColor="text1"/>
          <w:sz w:val="24"/>
          <w:highlight w:val="none"/>
          <w14:textFill>
            <w14:solidFill>
              <w14:schemeClr w14:val="tx1"/>
            </w14:solidFill>
          </w14:textFill>
        </w:rPr>
      </w:pPr>
    </w:p>
    <w:p>
      <w:pPr>
        <w:ind w:firstLine="4800" w:firstLineChars="2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 　　  年     月     日</w:t>
      </w:r>
      <w:r>
        <w:rPr>
          <w:rFonts w:ascii="宋体" w:hAnsi="宋体"/>
          <w:b/>
          <w:color w:val="000000" w:themeColor="text1"/>
          <w:highlight w:val="none"/>
          <w14:textFill>
            <w14:solidFill>
              <w14:schemeClr w14:val="tx1"/>
            </w14:solidFill>
          </w14:textFill>
        </w:rPr>
        <w:br w:type="page"/>
      </w:r>
    </w:p>
    <w:p>
      <w:pPr>
        <w:adjustRightInd w:val="0"/>
        <w:snapToGrid w:val="0"/>
        <w:spacing w:line="360" w:lineRule="auto"/>
        <w:jc w:val="left"/>
        <w:rPr>
          <w:rFonts w:ascii="宋体" w:hAnsi="宋体"/>
          <w:color w:val="000000" w:themeColor="text1"/>
          <w:sz w:val="24"/>
          <w:highlight w:val="none"/>
          <w:u w:val="single"/>
          <w14:textFill>
            <w14:solidFill>
              <w14:schemeClr w14:val="tx1"/>
            </w14:solidFill>
          </w14:textFill>
        </w:rPr>
      </w:pPr>
      <w:bookmarkStart w:id="174" w:name="_Toc23410_WPSOffice_Level1"/>
      <w:r>
        <w:rPr>
          <w:rFonts w:hint="eastAsia" w:ascii="宋体" w:hAnsi="宋体"/>
          <w:b/>
          <w:bCs/>
          <w:color w:val="000000" w:themeColor="text1"/>
          <w:sz w:val="28"/>
          <w:szCs w:val="28"/>
          <w:highlight w:val="none"/>
          <w14:textFill>
            <w14:solidFill>
              <w14:schemeClr w14:val="tx1"/>
            </w14:solidFill>
          </w14:textFill>
        </w:rPr>
        <w:t xml:space="preserve">附件3  </w:t>
      </w:r>
      <w:r>
        <w:rPr>
          <w:rFonts w:hint="eastAsia" w:ascii="宋体" w:hAnsi="宋体"/>
          <w:b/>
          <w:bCs/>
          <w:color w:val="000000" w:themeColor="text1"/>
          <w:sz w:val="28"/>
          <w:szCs w:val="28"/>
          <w:highlight w:val="none"/>
          <w14:textFill>
            <w14:solidFill>
              <w14:schemeClr w14:val="tx1"/>
            </w14:solidFill>
          </w14:textFill>
        </w:rPr>
        <w:t>授权委托书</w:t>
      </w:r>
    </w:p>
    <w:p>
      <w:pPr>
        <w:adjustRightInd w:val="0"/>
        <w:snapToGrid w:val="0"/>
        <w:spacing w:line="360" w:lineRule="auto"/>
        <w:jc w:val="center"/>
        <w:rPr>
          <w:rFonts w:ascii="宋体" w:hAnsi="宋体"/>
          <w:color w:val="000000" w:themeColor="text1"/>
          <w:sz w:val="24"/>
          <w:highlight w:val="none"/>
          <w:u w:val="singl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授权委托书</w:t>
      </w:r>
      <w:bookmarkEnd w:id="174"/>
    </w:p>
    <w:p>
      <w:pPr>
        <w:pStyle w:val="54"/>
        <w:adjustRightInd w:val="0"/>
        <w:snapToGrid w:val="0"/>
        <w:spacing w:line="360" w:lineRule="auto"/>
        <w:ind w:left="0"/>
        <w:jc w:val="left"/>
        <w:textAlignment w:val="auto"/>
        <w:rPr>
          <w:rFonts w:ascii="宋体" w:hAnsi="宋体"/>
          <w:b/>
          <w:color w:val="000000" w:themeColor="text1"/>
          <w:sz w:val="24"/>
          <w:highlight w:val="none"/>
          <w:u w:val="single"/>
          <w14:textFill>
            <w14:solidFill>
              <w14:schemeClr w14:val="tx1"/>
            </w14:solidFill>
          </w14:textFill>
        </w:rPr>
      </w:pPr>
    </w:p>
    <w:p>
      <w:pPr>
        <w:pStyle w:val="54"/>
        <w:adjustRightInd w:val="0"/>
        <w:snapToGrid w:val="0"/>
        <w:spacing w:line="360" w:lineRule="auto"/>
        <w:jc w:val="left"/>
        <w:textAlignment w:val="auto"/>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致：江苏煤炭地质物测队</w:t>
      </w:r>
    </w:p>
    <w:p>
      <w:pPr>
        <w:topLinePunct/>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本人（姓名）系（投标人名称）的法定代表人，现委托（姓名）为我方代理人。代理人根据授权，以我方名义签署、澄清、说明、补正、递交、撤回、修改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高邮、宝应、溧水等3个区域内日常业务服务项目项目</w:t>
      </w:r>
      <w:r>
        <w:rPr>
          <w:rFonts w:hint="eastAsia" w:ascii="宋体" w:hAnsi="宋体" w:cs="宋体"/>
          <w:color w:val="000000" w:themeColor="text1"/>
          <w:sz w:val="24"/>
          <w:highlight w:val="none"/>
          <w14:textFill>
            <w14:solidFill>
              <w14:schemeClr w14:val="tx1"/>
            </w14:solidFill>
          </w14:textFill>
        </w:rPr>
        <w:t>投标文件、签订合同和处理有关事宜，其法律后果由我方承担。</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委托期限：。</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p>
    <w:tbl>
      <w:tblPr>
        <w:tblStyle w:val="3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383" w:type="dxa"/>
            <w:noWrap/>
          </w:tcPr>
          <w:p>
            <w:pPr>
              <w:spacing w:line="560" w:lineRule="exact"/>
              <w:rPr>
                <w:rFonts w:ascii="宋体" w:hAnsi="宋体" w:cs="宋体"/>
                <w:color w:val="000000" w:themeColor="text1"/>
                <w:sz w:val="24"/>
                <w:highlight w:val="none"/>
                <w14:textFill>
                  <w14:solidFill>
                    <w14:schemeClr w14:val="tx1"/>
                  </w14:solidFill>
                </w14:textFill>
              </w:rPr>
            </w:pPr>
          </w:p>
          <w:p>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法定代表人身份证复印件(正反面)</w:t>
            </w:r>
          </w:p>
        </w:tc>
        <w:tc>
          <w:tcPr>
            <w:tcW w:w="4657" w:type="dxa"/>
            <w:noWrap/>
          </w:tcPr>
          <w:p>
            <w:pPr>
              <w:spacing w:line="560" w:lineRule="exact"/>
              <w:rPr>
                <w:rFonts w:ascii="宋体" w:hAnsi="宋体" w:cs="宋体"/>
                <w:color w:val="000000" w:themeColor="text1"/>
                <w:sz w:val="24"/>
                <w:highlight w:val="none"/>
                <w14:textFill>
                  <w14:solidFill>
                    <w14:schemeClr w14:val="tx1"/>
                  </w14:solidFill>
                </w14:textFill>
              </w:rPr>
            </w:pPr>
          </w:p>
          <w:p>
            <w:pPr>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授权委托人身份证复印件(正反面)</w:t>
            </w:r>
          </w:p>
        </w:tc>
      </w:tr>
    </w:tbl>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投标人：（盖单位章）</w:t>
      </w:r>
    </w:p>
    <w:p>
      <w:pPr>
        <w:spacing w:line="440" w:lineRule="exact"/>
        <w:rPr>
          <w:rFonts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spacing w:line="440" w:lineRule="exact"/>
        <w:rPr>
          <w:rFonts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p>
    <w:p>
      <w:pPr>
        <w:spacing w:line="440" w:lineRule="exact"/>
        <w:rPr>
          <w:rFonts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委托代理人：（签字） </w:t>
      </w:r>
    </w:p>
    <w:p>
      <w:pPr>
        <w:spacing w:line="440" w:lineRule="exact"/>
        <w:rPr>
          <w:rFonts w:ascii="宋体" w:hAnsi="宋体" w:cs="宋体"/>
          <w:color w:val="000000" w:themeColor="text1"/>
          <w:sz w:val="24"/>
          <w:highlight w:val="none"/>
          <w14:textFill>
            <w14:solidFill>
              <w14:schemeClr w14:val="tx1"/>
            </w14:solidFill>
          </w14:textFill>
        </w:rPr>
      </w:pP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身份证号码：</w:t>
      </w:r>
    </w:p>
    <w:p>
      <w:pPr>
        <w:spacing w:line="440" w:lineRule="exact"/>
        <w:rPr>
          <w:rFonts w:ascii="宋体" w:hAnsi="宋体" w:cs="宋体"/>
          <w:color w:val="000000" w:themeColor="text1"/>
          <w:sz w:val="24"/>
          <w:highlight w:val="none"/>
          <w14:textFill>
            <w14:solidFill>
              <w14:schemeClr w14:val="tx1"/>
            </w14:solidFill>
          </w14:textFill>
        </w:rPr>
      </w:pPr>
    </w:p>
    <w:p>
      <w:pPr>
        <w:spacing w:line="440" w:lineRule="exact"/>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5040" w:firstLineChars="21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年  月  日</w:t>
      </w:r>
    </w:p>
    <w:p>
      <w:pPr>
        <w:adjustRightInd w:val="0"/>
        <w:snapToGrid w:val="0"/>
        <w:spacing w:line="360" w:lineRule="auto"/>
        <w:jc w:val="center"/>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备注：被授权人签名处必须由本人签字，不得以私章替代。</w:t>
      </w:r>
    </w:p>
    <w:p>
      <w:pPr>
        <w:adjustRightInd w:val="0"/>
        <w:snapToGrid w:val="0"/>
        <w:spacing w:line="360" w:lineRule="auto"/>
        <w:rPr>
          <w:rFonts w:ascii="宋体" w:hAnsi="宋体"/>
          <w:b/>
          <w:bCs/>
          <w:color w:val="000000" w:themeColor="text1"/>
          <w:sz w:val="24"/>
          <w:highlight w:val="none"/>
          <w14:textFill>
            <w14:solidFill>
              <w14:schemeClr w14:val="tx1"/>
            </w14:solidFill>
          </w14:textFill>
        </w:rPr>
      </w:pPr>
    </w:p>
    <w:p>
      <w:pPr>
        <w:spacing w:line="400" w:lineRule="atLeast"/>
        <w:ind w:left="2880" w:hanging="2880"/>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附件4   </w:t>
      </w:r>
      <w:r>
        <w:rPr>
          <w:rFonts w:hint="eastAsia" w:ascii="宋体" w:hAnsi="宋体"/>
          <w:b/>
          <w:bCs/>
          <w:color w:val="000000" w:themeColor="text1"/>
          <w:sz w:val="28"/>
          <w:szCs w:val="28"/>
          <w:highlight w:val="none"/>
          <w14:textFill>
            <w14:solidFill>
              <w14:schemeClr w14:val="tx1"/>
            </w14:solidFill>
          </w14:textFill>
        </w:rPr>
        <w:t>开标一览表、投标分项报价明细表</w:t>
      </w:r>
    </w:p>
    <w:p>
      <w:pPr>
        <w:adjustRightInd w:val="0"/>
        <w:snapToGrid w:val="0"/>
        <w:spacing w:line="360" w:lineRule="auto"/>
        <w:jc w:val="center"/>
        <w:rPr>
          <w:rFonts w:ascii="宋体" w:hAnsi="宋体"/>
          <w:color w:val="000000" w:themeColor="text1"/>
          <w:sz w:val="24"/>
          <w:highlight w:val="none"/>
          <w14:textFill>
            <w14:solidFill>
              <w14:schemeClr w14:val="tx1"/>
            </w14:solidFill>
          </w14:textFill>
        </w:rPr>
      </w:pPr>
      <w:bookmarkStart w:id="175" w:name="_Toc25471_WPSOffice_Level1"/>
      <w:r>
        <w:rPr>
          <w:rFonts w:hint="eastAsia" w:ascii="宋体" w:hAnsi="宋体"/>
          <w:b/>
          <w:bCs/>
          <w:color w:val="000000" w:themeColor="text1"/>
          <w:sz w:val="28"/>
          <w:szCs w:val="28"/>
          <w:highlight w:val="none"/>
          <w14:textFill>
            <w14:solidFill>
              <w14:schemeClr w14:val="tx1"/>
            </w14:solidFill>
          </w14:textFill>
        </w:rPr>
        <w:t>开标一览表</w:t>
      </w:r>
      <w:bookmarkEnd w:id="175"/>
    </w:p>
    <w:p>
      <w:pPr>
        <w:pStyle w:val="48"/>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投标人名称：                                                    单 位：元</w:t>
      </w:r>
    </w:p>
    <w:p>
      <w:pPr>
        <w:pStyle w:val="48"/>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bl>
      <w:tblPr>
        <w:tblStyle w:val="34"/>
        <w:tblW w:w="9720" w:type="dxa"/>
        <w:tblInd w:w="2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8"/>
        <w:gridCol w:w="7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2578" w:type="dxa"/>
            <w:vAlign w:val="center"/>
          </w:tcPr>
          <w:p>
            <w:pPr>
              <w:pStyle w:val="50"/>
              <w:ind w:left="668" w:right="65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c>
          <w:tcPr>
            <w:tcW w:w="7142" w:type="dxa"/>
            <w:tcBorders>
              <w:right w:val="single" w:color="000000" w:sz="4" w:space="0"/>
            </w:tcBorders>
            <w:vAlign w:val="center"/>
          </w:tcPr>
          <w:p>
            <w:pPr>
              <w:pStyle w:val="50"/>
              <w:ind w:left="668" w:right="65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高邮、宝应区域内测绘及市政勘测劳务服务项目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2578" w:type="dxa"/>
            <w:tcBorders>
              <w:bottom w:val="single" w:color="000000" w:sz="4" w:space="0"/>
            </w:tcBorders>
          </w:tcPr>
          <w:p>
            <w:pPr>
              <w:pStyle w:val="50"/>
              <w:jc w:val="center"/>
              <w:rPr>
                <w:color w:val="000000" w:themeColor="text1"/>
                <w:sz w:val="24"/>
                <w:highlight w:val="none"/>
                <w14:textFill>
                  <w14:solidFill>
                    <w14:schemeClr w14:val="tx1"/>
                  </w14:solidFill>
                </w14:textFill>
              </w:rPr>
            </w:pPr>
          </w:p>
          <w:p>
            <w:pPr>
              <w:pStyle w:val="50"/>
              <w:spacing w:before="168"/>
              <w:ind w:left="668" w:right="654"/>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投标总报价</w:t>
            </w:r>
          </w:p>
        </w:tc>
        <w:tc>
          <w:tcPr>
            <w:tcW w:w="7142" w:type="dxa"/>
            <w:tcBorders>
              <w:bottom w:val="single" w:color="000000" w:sz="4" w:space="0"/>
              <w:right w:val="single" w:color="000000" w:sz="4" w:space="0"/>
            </w:tcBorders>
          </w:tcPr>
          <w:p>
            <w:pPr>
              <w:pStyle w:val="50"/>
              <w:spacing w:line="480" w:lineRule="auto"/>
              <w:ind w:left="668" w:right="654"/>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rFonts w:hint="eastAsia"/>
                <w:color w:val="000000" w:themeColor="text1"/>
                <w:sz w:val="24"/>
                <w:highlight w:val="none"/>
                <w14:textFill>
                  <w14:solidFill>
                    <w14:schemeClr w14:val="tx1"/>
                  </w14:solidFill>
                </w14:textFill>
              </w:rPr>
              <w:t xml:space="preserve">     （不含税）</w:t>
            </w:r>
          </w:p>
          <w:p>
            <w:pPr>
              <w:pStyle w:val="50"/>
              <w:spacing w:line="480" w:lineRule="auto"/>
              <w:ind w:left="668" w:right="654"/>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小写：</w:t>
            </w:r>
            <w:r>
              <w:rPr>
                <w:rFonts w:hint="eastAsia"/>
                <w:color w:val="000000" w:themeColor="text1"/>
                <w:sz w:val="24"/>
                <w:highlight w:val="none"/>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2578" w:type="dxa"/>
            <w:tcBorders>
              <w:top w:val="single" w:color="000000" w:sz="4" w:space="0"/>
              <w:bottom w:val="single" w:color="000000" w:sz="4" w:space="0"/>
            </w:tcBorders>
          </w:tcPr>
          <w:p>
            <w:pPr>
              <w:pStyle w:val="50"/>
              <w:spacing w:before="175"/>
              <w:ind w:right="654"/>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服务期</w:t>
            </w:r>
          </w:p>
        </w:tc>
        <w:tc>
          <w:tcPr>
            <w:tcW w:w="7142" w:type="dxa"/>
            <w:tcBorders>
              <w:top w:val="single" w:color="000000" w:sz="4" w:space="0"/>
              <w:bottom w:val="single" w:color="000000" w:sz="4" w:space="0"/>
              <w:right w:val="single" w:color="000000" w:sz="4" w:space="0"/>
            </w:tcBorders>
          </w:tcPr>
          <w:p>
            <w:pPr>
              <w:pStyle w:val="50"/>
              <w:rPr>
                <w:color w:val="000000" w:themeColor="text1"/>
                <w:sz w:val="22"/>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578" w:type="dxa"/>
            <w:tcBorders>
              <w:top w:val="single" w:color="000000" w:sz="4" w:space="0"/>
            </w:tcBorders>
          </w:tcPr>
          <w:p>
            <w:pPr>
              <w:pStyle w:val="50"/>
              <w:spacing w:before="185"/>
              <w:ind w:left="668" w:right="654"/>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质量标准</w:t>
            </w:r>
          </w:p>
        </w:tc>
        <w:tc>
          <w:tcPr>
            <w:tcW w:w="7142" w:type="dxa"/>
            <w:tcBorders>
              <w:top w:val="single" w:color="000000" w:sz="4" w:space="0"/>
              <w:bottom w:val="single" w:color="000000" w:sz="4" w:space="0"/>
              <w:right w:val="single" w:color="000000" w:sz="4" w:space="0"/>
            </w:tcBorders>
          </w:tcPr>
          <w:p>
            <w:pPr>
              <w:pStyle w:val="50"/>
              <w:rPr>
                <w:color w:val="000000" w:themeColor="text1"/>
                <w:sz w:val="22"/>
                <w:highlight w:val="none"/>
                <w14:textFill>
                  <w14:solidFill>
                    <w14:schemeClr w14:val="tx1"/>
                  </w14:solidFill>
                </w14:textFill>
              </w:rPr>
            </w:pPr>
          </w:p>
        </w:tc>
      </w:tr>
    </w:tbl>
    <w:p>
      <w:pPr>
        <w:pStyle w:val="48"/>
        <w:snapToGrid w:val="0"/>
        <w:spacing w:line="360" w:lineRule="auto"/>
        <w:rPr>
          <w:rFonts w:ascii="宋体" w:hAnsi="宋体"/>
          <w:color w:val="000000" w:themeColor="text1"/>
          <w:sz w:val="24"/>
          <w:szCs w:val="24"/>
          <w:highlight w:val="none"/>
          <w14:textFill>
            <w14:solidFill>
              <w14:schemeClr w14:val="tx1"/>
            </w14:solidFill>
          </w14:textFill>
        </w:rPr>
      </w:pPr>
    </w:p>
    <w:p>
      <w:pPr>
        <w:pStyle w:val="48"/>
        <w:snapToGrid w:val="0"/>
        <w:spacing w:line="50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注：1、投标价格应包括投</w:t>
      </w:r>
      <w:r>
        <w:rPr>
          <w:rFonts w:hint="eastAsia" w:ascii="宋体" w:hAnsi="宋体"/>
          <w:color w:val="000000" w:themeColor="text1"/>
          <w:sz w:val="24"/>
          <w:szCs w:val="24"/>
          <w:highlight w:val="none"/>
          <w14:textFill>
            <w14:solidFill>
              <w14:schemeClr w14:val="tx1"/>
            </w14:solidFill>
          </w14:textFill>
        </w:rPr>
        <w:t>标货物服务、技术资料、技术服务、人员培训及</w:t>
      </w:r>
      <w:r>
        <w:rPr>
          <w:rFonts w:ascii="宋体" w:hAnsi="宋体"/>
          <w:color w:val="000000" w:themeColor="text1"/>
          <w:sz w:val="24"/>
          <w:szCs w:val="24"/>
          <w:highlight w:val="none"/>
          <w14:textFill>
            <w14:solidFill>
              <w14:schemeClr w14:val="tx1"/>
            </w14:solidFill>
          </w14:textFill>
        </w:rPr>
        <w:t>支付的各种税费、运费、装卸费、仓储费、保险费</w:t>
      </w:r>
      <w:r>
        <w:rPr>
          <w:rFonts w:hint="eastAsia" w:ascii="宋体" w:hAnsi="宋体"/>
          <w:color w:val="000000" w:themeColor="text1"/>
          <w:sz w:val="24"/>
          <w:szCs w:val="24"/>
          <w:highlight w:val="none"/>
          <w14:textFill>
            <w14:solidFill>
              <w14:schemeClr w14:val="tx1"/>
            </w14:solidFill>
          </w14:textFill>
        </w:rPr>
        <w:t>、安装</w:t>
      </w:r>
      <w:r>
        <w:rPr>
          <w:rFonts w:ascii="宋体" w:hAnsi="宋体"/>
          <w:color w:val="000000" w:themeColor="text1"/>
          <w:sz w:val="24"/>
          <w:szCs w:val="24"/>
          <w:highlight w:val="none"/>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一切</w:t>
      </w:r>
      <w:r>
        <w:rPr>
          <w:rFonts w:ascii="宋体" w:hAnsi="宋体"/>
          <w:color w:val="000000" w:themeColor="text1"/>
          <w:sz w:val="24"/>
          <w:szCs w:val="24"/>
          <w:highlight w:val="none"/>
          <w14:textFill>
            <w14:solidFill>
              <w14:schemeClr w14:val="tx1"/>
            </w14:solidFill>
          </w14:textFill>
        </w:rPr>
        <w:t>有关费用。</w:t>
      </w:r>
    </w:p>
    <w:p>
      <w:pPr>
        <w:pStyle w:val="31"/>
        <w:numPr>
          <w:ilvl w:val="0"/>
          <w:numId w:val="9"/>
        </w:numPr>
        <w:shd w:val="clear" w:color="auto" w:fill="FFFFFF"/>
        <w:spacing w:before="90" w:beforeAutospacing="0" w:after="0" w:afterAutospacing="0" w:line="500" w:lineRule="exact"/>
        <w:ind w:right="4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开标时，投标文件中开标一览表内容与投标文件中相应内容不一致的，以开标一览表为准。</w:t>
      </w:r>
    </w:p>
    <w:p>
      <w:pPr>
        <w:pStyle w:val="48"/>
        <w:snapToGrid w:val="0"/>
        <w:spacing w:line="360" w:lineRule="auto"/>
        <w:rPr>
          <w:rFonts w:ascii="宋体" w:hAnsi="宋体"/>
          <w:color w:val="000000" w:themeColor="text1"/>
          <w:sz w:val="24"/>
          <w:szCs w:val="24"/>
          <w:highlight w:val="none"/>
          <w:shd w:val="pct10" w:color="auto" w:fill="FFFFFF"/>
          <w14:textFill>
            <w14:solidFill>
              <w14:schemeClr w14:val="tx1"/>
            </w14:solidFill>
          </w14:textFill>
        </w:rPr>
      </w:pPr>
    </w:p>
    <w:p>
      <w:pPr>
        <w:pStyle w:val="48"/>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法定代表人签字或盖章/授权委托人签字：              投标人公章：</w:t>
      </w:r>
    </w:p>
    <w:p>
      <w:pPr>
        <w:adjustRightInd w:val="0"/>
        <w:snapToGrid w:val="0"/>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pacing w:line="400" w:lineRule="atLeast"/>
        <w:ind w:left="2880" w:hanging="2880"/>
        <w:jc w:val="center"/>
        <w:rPr>
          <w:rFonts w:ascii="宋体" w:hAnsi="宋体"/>
          <w:b/>
          <w:bCs/>
          <w:color w:val="000000" w:themeColor="text1"/>
          <w:sz w:val="28"/>
          <w:szCs w:val="28"/>
          <w:highlight w:val="none"/>
          <w14:textFill>
            <w14:solidFill>
              <w14:schemeClr w14:val="tx1"/>
            </w14:solidFill>
          </w14:textFill>
        </w:rPr>
      </w:pPr>
      <w:bookmarkStart w:id="176" w:name="_Toc27948_WPSOffice_Level1"/>
    </w:p>
    <w:p>
      <w:pPr>
        <w:pStyle w:val="33"/>
        <w:ind w:firstLine="321"/>
        <w:rPr>
          <w:rFonts w:ascii="宋体" w:hAnsi="宋体"/>
          <w:color w:val="000000" w:themeColor="text1"/>
          <w:sz w:val="28"/>
          <w:szCs w:val="28"/>
          <w:highlight w:val="none"/>
          <w14:textFill>
            <w14:solidFill>
              <w14:schemeClr w14:val="tx1"/>
            </w14:solidFill>
          </w14:textFill>
        </w:rPr>
      </w:pPr>
    </w:p>
    <w:p>
      <w:pPr>
        <w:rPr>
          <w:rFonts w:ascii="宋体" w:hAnsi="宋体"/>
          <w:b/>
          <w:bCs/>
          <w:color w:val="000000" w:themeColor="text1"/>
          <w:sz w:val="28"/>
          <w:szCs w:val="28"/>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pStyle w:val="40"/>
        <w:ind w:firstLine="420"/>
        <w:rPr>
          <w:color w:val="000000" w:themeColor="text1"/>
          <w:highlight w:val="none"/>
          <w14:textFill>
            <w14:solidFill>
              <w14:schemeClr w14:val="tx1"/>
            </w14:solidFill>
          </w14:textFill>
        </w:rPr>
      </w:pPr>
    </w:p>
    <w:bookmarkEnd w:id="176"/>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附件5  </w:t>
      </w:r>
      <w:r>
        <w:rPr>
          <w:rFonts w:hint="eastAsia" w:ascii="宋体" w:hAnsi="宋体" w:cs="宋体"/>
          <w:b/>
          <w:bCs/>
          <w:color w:val="000000" w:themeColor="text1"/>
          <w:sz w:val="28"/>
          <w:szCs w:val="28"/>
          <w:highlight w:val="none"/>
          <w14:textFill>
            <w14:solidFill>
              <w14:schemeClr w14:val="tx1"/>
            </w14:solidFill>
          </w14:textFill>
        </w:rPr>
        <w:t>企业营业执照、企业税务登记证、企业组织机构代码证（如已三证合一的投标人仅需提供营业执照）（复印件加盖公章）</w:t>
      </w:r>
    </w:p>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附件6 业绩表（提供中标通知书或合同）</w:t>
      </w:r>
    </w:p>
    <w:tbl>
      <w:tblPr>
        <w:tblStyle w:val="3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03"/>
        <w:gridCol w:w="1903"/>
        <w:gridCol w:w="1746"/>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903" w:type="dxa"/>
          </w:tcPr>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903" w:type="dxa"/>
          </w:tcPr>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招标内容</w:t>
            </w:r>
          </w:p>
        </w:tc>
        <w:tc>
          <w:tcPr>
            <w:tcW w:w="1746" w:type="dxa"/>
          </w:tcPr>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合同金额</w:t>
            </w:r>
          </w:p>
        </w:tc>
        <w:tc>
          <w:tcPr>
            <w:tcW w:w="2061" w:type="dxa"/>
          </w:tcPr>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p>
          <w:p>
            <w:pPr>
              <w:adjustRightInd w:val="0"/>
              <w:snapToGrid w:val="0"/>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业主单位名称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746"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2061"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746"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2061"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903"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1746"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c>
          <w:tcPr>
            <w:tcW w:w="2061" w:type="dxa"/>
          </w:tcPr>
          <w:p>
            <w:pPr>
              <w:adjustRightInd w:val="0"/>
              <w:snapToGrid w:val="0"/>
              <w:spacing w:line="360" w:lineRule="auto"/>
              <w:rPr>
                <w:rFonts w:ascii="宋体" w:hAnsi="宋体" w:cs="宋体"/>
                <w:b/>
                <w:bCs/>
                <w:color w:val="000000" w:themeColor="text1"/>
                <w:sz w:val="24"/>
                <w:highlight w:val="none"/>
                <w14:textFill>
                  <w14:solidFill>
                    <w14:schemeClr w14:val="tx1"/>
                  </w14:solidFill>
                </w14:textFill>
              </w:rPr>
            </w:pPr>
          </w:p>
        </w:tc>
      </w:tr>
    </w:tbl>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注：需附中标通知书或合同复印件（加盖公章）</w:t>
      </w:r>
    </w:p>
    <w:p>
      <w:pPr>
        <w:pStyle w:val="33"/>
        <w:spacing w:line="480" w:lineRule="auto"/>
        <w:ind w:firstLine="280"/>
        <w:jc w:val="center"/>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投标人（盖章）：</w:t>
      </w:r>
    </w:p>
    <w:p>
      <w:pPr>
        <w:wordWrap w:val="0"/>
        <w:spacing w:line="480" w:lineRule="auto"/>
        <w:jc w:val="righ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法定代表人签字或盖章/授权委托人签字：       </w:t>
      </w:r>
    </w:p>
    <w:p>
      <w:pPr>
        <w:adjustRightInd w:val="0"/>
        <w:snapToGrid w:val="0"/>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pStyle w:val="33"/>
        <w:wordWrap w:val="0"/>
        <w:spacing w:line="480" w:lineRule="auto"/>
        <w:ind w:firstLine="280"/>
        <w:jc w:val="right"/>
        <w:rPr>
          <w:rFonts w:asciiTheme="minorEastAsia" w:hAnsiTheme="minorEastAsia" w:eastAsiaTheme="minorEastAsia" w:cstheme="minorEastAsia"/>
          <w:b w:val="0"/>
          <w:bCs w:val="0"/>
          <w:color w:val="000000" w:themeColor="text1"/>
          <w:sz w:val="24"/>
          <w:highlight w:val="none"/>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color w:val="000000" w:themeColor="text1"/>
          <w:sz w:val="24"/>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p>
    <w:p>
      <w:pPr>
        <w:pStyle w:val="33"/>
        <w:ind w:firstLine="321"/>
        <w:rPr>
          <w:rFonts w:ascii="宋体" w:hAnsi="宋体" w:cs="宋体"/>
          <w:color w:val="000000" w:themeColor="text1"/>
          <w:sz w:val="28"/>
          <w:szCs w:val="28"/>
          <w:highlight w:val="none"/>
          <w14:textFill>
            <w14:solidFill>
              <w14:schemeClr w14:val="tx1"/>
            </w14:solidFill>
          </w14:textFill>
        </w:rPr>
      </w:pPr>
    </w:p>
    <w:p>
      <w:pPr>
        <w:rPr>
          <w:rFonts w:ascii="宋体" w:hAnsi="宋体" w:cs="宋体"/>
          <w:b/>
          <w:bCs/>
          <w:color w:val="000000" w:themeColor="text1"/>
          <w:sz w:val="28"/>
          <w:szCs w:val="28"/>
          <w:highlight w:val="none"/>
          <w14:textFill>
            <w14:solidFill>
              <w14:schemeClr w14:val="tx1"/>
            </w14:solidFill>
          </w14:textFill>
        </w:rPr>
      </w:pPr>
    </w:p>
    <w:p>
      <w:pPr>
        <w:pStyle w:val="33"/>
        <w:ind w:firstLine="321"/>
        <w:rPr>
          <w:rFonts w:ascii="宋体" w:hAnsi="宋体" w:cs="宋体"/>
          <w:color w:val="000000" w:themeColor="text1"/>
          <w:sz w:val="28"/>
          <w:szCs w:val="28"/>
          <w:highlight w:val="none"/>
          <w14:textFill>
            <w14:solidFill>
              <w14:schemeClr w14:val="tx1"/>
            </w14:solidFill>
          </w14:textFill>
        </w:rPr>
      </w:pPr>
    </w:p>
    <w:p>
      <w:pPr>
        <w:rPr>
          <w:rFonts w:ascii="宋体" w:hAnsi="宋体" w:cs="宋体"/>
          <w:b/>
          <w:bCs/>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附件7</w:t>
      </w:r>
    </w:p>
    <w:p>
      <w:pPr>
        <w:adjustRightInd w:val="0"/>
        <w:snapToGrid w:val="0"/>
        <w:spacing w:line="360" w:lineRule="auto"/>
        <w:jc w:val="center"/>
        <w:rPr>
          <w:rFonts w:ascii="宋体" w:hAnsi="宋体"/>
          <w:b/>
          <w:bCs/>
          <w:color w:val="000000" w:themeColor="text1"/>
          <w:sz w:val="28"/>
          <w:szCs w:val="28"/>
          <w:highlight w:val="none"/>
          <w14:textFill>
            <w14:solidFill>
              <w14:schemeClr w14:val="tx1"/>
            </w14:solidFill>
          </w14:textFill>
        </w:rPr>
      </w:pPr>
      <w:bookmarkStart w:id="177" w:name="_Toc4112_WPSOffice_Level1"/>
      <w:r>
        <w:rPr>
          <w:rFonts w:hint="eastAsia" w:ascii="宋体" w:hAnsi="宋体"/>
          <w:b/>
          <w:bCs/>
          <w:color w:val="000000" w:themeColor="text1"/>
          <w:sz w:val="28"/>
          <w:szCs w:val="28"/>
          <w:highlight w:val="none"/>
          <w14:textFill>
            <w14:solidFill>
              <w14:schemeClr w14:val="tx1"/>
            </w14:solidFill>
          </w14:textFill>
        </w:rPr>
        <w:t>安全运营责任书</w:t>
      </w:r>
      <w:bookmarkEnd w:id="177"/>
    </w:p>
    <w:p>
      <w:pPr>
        <w:adjustRightInd w:val="0"/>
        <w:snapToGrid w:val="0"/>
        <w:spacing w:line="360" w:lineRule="auto"/>
        <w:jc w:val="center"/>
        <w:rPr>
          <w:rFonts w:ascii="宋体" w:hAnsi="宋体"/>
          <w:b/>
          <w:bCs/>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招标人</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我公司（投标人名称）已详细阅读了项目招标文件，现就安全运营事项保证如下：</w:t>
      </w:r>
    </w:p>
    <w:p>
      <w:pPr>
        <w:numPr>
          <w:ilvl w:val="0"/>
          <w:numId w:val="10"/>
        </w:num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我方所有运营车辆及设备按招标人要求购买相关保险。</w:t>
      </w:r>
    </w:p>
    <w:p>
      <w:pPr>
        <w:numPr>
          <w:ilvl w:val="0"/>
          <w:numId w:val="10"/>
        </w:num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我方对所有车辆和设备，以及自有人员和相关第三者的安全承担全部责任，包括法律责任及民事赔偿责任。</w:t>
      </w: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投标人名称（公章）：</w:t>
      </w: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法定代表人签字或盖章/授权委托人签字：</w:t>
      </w: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年    月   日 </w:t>
      </w: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注：本责任书作为投标文件的必备条件，</w:t>
      </w:r>
      <w:r>
        <w:rPr>
          <w:rFonts w:hint="eastAsia" w:ascii="宋体" w:hAnsi="宋体"/>
          <w:b/>
          <w:bCs/>
          <w:color w:val="000000" w:themeColor="text1"/>
          <w:sz w:val="24"/>
          <w:highlight w:val="none"/>
          <w14:textFill>
            <w14:solidFill>
              <w14:schemeClr w14:val="tx1"/>
            </w14:solidFill>
          </w14:textFill>
        </w:rPr>
        <w:t>否则视为未</w:t>
      </w:r>
      <w:r>
        <w:rPr>
          <w:rFonts w:hint="eastAsia" w:ascii="宋体" w:hAnsi="宋体"/>
          <w:b/>
          <w:bCs/>
          <w:color w:val="000000" w:themeColor="text1"/>
          <w:sz w:val="24"/>
          <w:highlight w:val="none"/>
          <w14:textFill>
            <w14:solidFill>
              <w14:schemeClr w14:val="tx1"/>
            </w14:solidFill>
          </w14:textFill>
        </w:rPr>
        <w:t>实质性响</w:t>
      </w:r>
      <w:r>
        <w:rPr>
          <w:rFonts w:hint="eastAsia" w:ascii="宋体" w:hAnsi="宋体"/>
          <w:b/>
          <w:bCs/>
          <w:color w:val="000000" w:themeColor="text1"/>
          <w:sz w:val="24"/>
          <w:highlight w:val="none"/>
          <w14:textFill>
            <w14:solidFill>
              <w14:schemeClr w14:val="tx1"/>
            </w14:solidFill>
          </w14:textFill>
        </w:rPr>
        <w:t>应招标文件，由投标人承担由此造成的一切后果和损失。</w:t>
      </w:r>
    </w:p>
    <w:p>
      <w:pPr>
        <w:adjustRightInd w:val="0"/>
        <w:snapToGrid w:val="0"/>
        <w:spacing w:line="360" w:lineRule="auto"/>
        <w:jc w:val="left"/>
        <w:rPr>
          <w:rFonts w:ascii="宋体" w:hAnsi="宋体"/>
          <w:b/>
          <w:bCs/>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b/>
          <w:bCs/>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b/>
          <w:bCs/>
          <w:color w:val="000000" w:themeColor="text1"/>
          <w:sz w:val="24"/>
          <w:highlight w:val="none"/>
          <w14:textFill>
            <w14:solidFill>
              <w14:schemeClr w14:val="tx1"/>
            </w14:solidFill>
          </w14:textFill>
        </w:rPr>
      </w:pPr>
    </w:p>
    <w:p>
      <w:pPr>
        <w:adjustRightInd w:val="0"/>
        <w:snapToGrid w:val="0"/>
        <w:spacing w:line="360" w:lineRule="auto"/>
        <w:jc w:val="left"/>
        <w:rPr>
          <w:rFonts w:ascii="宋体" w:hAnsi="宋体"/>
          <w:b/>
          <w:bCs/>
          <w:color w:val="000000" w:themeColor="text1"/>
          <w:sz w:val="24"/>
          <w:highlight w:val="none"/>
          <w14:textFill>
            <w14:solidFill>
              <w14:schemeClr w14:val="tx1"/>
            </w14:solidFill>
          </w14:textFill>
        </w:rPr>
        <w:sectPr>
          <w:footerReference r:id="rId15" w:type="default"/>
          <w:pgSz w:w="11906" w:h="16838"/>
          <w:pgMar w:top="1440" w:right="1366" w:bottom="1440" w:left="1300" w:header="851" w:footer="794" w:gutter="0"/>
          <w:cols w:space="720" w:num="1"/>
          <w:docGrid w:type="lines" w:linePitch="312" w:charSpace="0"/>
        </w:sectPr>
      </w:pPr>
    </w:p>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附件8</w:t>
      </w:r>
    </w:p>
    <w:p>
      <w:pPr>
        <w:autoSpaceDE w:val="0"/>
        <w:autoSpaceDN w:val="0"/>
        <w:adjustRightInd w:val="0"/>
        <w:spacing w:line="400" w:lineRule="exact"/>
        <w:jc w:val="center"/>
        <w:rPr>
          <w:rFonts w:ascii="新宋体" w:hAnsi="新宋体" w:eastAsia="新宋体" w:cs="宋体"/>
          <w:b/>
          <w:bCs/>
          <w:color w:val="000000" w:themeColor="text1"/>
          <w:sz w:val="28"/>
          <w:szCs w:val="28"/>
          <w:highlight w:val="none"/>
          <w:lang w:val="zh-CN"/>
          <w14:textFill>
            <w14:solidFill>
              <w14:schemeClr w14:val="tx1"/>
            </w14:solidFill>
          </w14:textFill>
        </w:rPr>
      </w:pPr>
      <w:bookmarkStart w:id="178" w:name="_Toc1260_WPSOffice_Level1"/>
      <w:r>
        <w:rPr>
          <w:rFonts w:hint="eastAsia" w:ascii="新宋体" w:hAnsi="新宋体" w:eastAsia="新宋体" w:cs="宋体"/>
          <w:b/>
          <w:bCs/>
          <w:color w:val="000000" w:themeColor="text1"/>
          <w:sz w:val="28"/>
          <w:szCs w:val="28"/>
          <w:highlight w:val="none"/>
          <w:lang w:val="zh-CN"/>
          <w14:textFill>
            <w14:solidFill>
              <w14:schemeClr w14:val="tx1"/>
            </w14:solidFill>
          </w14:textFill>
        </w:rPr>
        <w:t>投标人诚信保证书</w:t>
      </w:r>
      <w:bookmarkEnd w:id="178"/>
    </w:p>
    <w:p>
      <w:pPr>
        <w:autoSpaceDE w:val="0"/>
        <w:autoSpaceDN w:val="0"/>
        <w:adjustRightInd w:val="0"/>
        <w:spacing w:line="400" w:lineRule="exact"/>
        <w:rPr>
          <w:rFonts w:ascii="新宋体" w:hAnsi="新宋体" w:eastAsia="新宋体" w:cs="宋体"/>
          <w:color w:val="000000" w:themeColor="text1"/>
          <w:sz w:val="28"/>
          <w:szCs w:val="28"/>
          <w:highlight w:val="none"/>
          <w:lang w:val="zh-CN"/>
          <w14:textFill>
            <w14:solidFill>
              <w14:schemeClr w14:val="tx1"/>
            </w14:solidFill>
          </w14:textFill>
        </w:rPr>
      </w:pPr>
    </w:p>
    <w:p>
      <w:pPr>
        <w:autoSpaceDE w:val="0"/>
        <w:autoSpaceDN w:val="0"/>
        <w:adjustRightIn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致（招标人名称）</w:t>
      </w:r>
    </w:p>
    <w:p>
      <w:pPr>
        <w:autoSpaceDE w:val="0"/>
        <w:autoSpaceDN w:val="0"/>
        <w:adjustRightInd w:val="0"/>
        <w:spacing w:line="400" w:lineRule="exact"/>
        <w:rPr>
          <w:rFonts w:ascii="新宋体" w:hAnsi="新宋体" w:eastAsia="新宋体" w:cs="宋体"/>
          <w:color w:val="000000" w:themeColor="text1"/>
          <w:sz w:val="28"/>
          <w:szCs w:val="28"/>
          <w:highlight w:val="none"/>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为了诚实、客观、有序地参与</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招标投标活动，愿就以下内容作出保证：</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一、自觉遵守各项法律、法规、规章、制度以及社会公德，维护廉洁环境，与同场竞争的投标人平等参加政府采购活动。</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二、参加招标人组织的投标活动时，严格按照招标文件的规定和要求提供所需的相关材料，并对所提供的各类资料的真实性负责，不虚假应标，不虚列业绩。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三、尊重参与招标投标各相关方的合法行为，接受招标投标活动依法形成的意见、结果。</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四、依法参加招标投标活动，不围标、串标，维护市场秩序，不提供</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三无</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产品、以次充好。</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五、积极推动招标投标活动健康开展，对招标投标活动有疑问、异议时，按法律规定的程序实名（加盖单位章和法定代表人签名）反映情况，不恶意中伤、无事生非，以和谐、平等的心态参加此次投标。</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六、认真履行中标人应承担的责任和义务，全面执行采购合同规定的各项内容，保质保量地按时提供货物及服务。</w:t>
      </w:r>
    </w:p>
    <w:p>
      <w:pPr>
        <w:autoSpaceDE w:val="0"/>
        <w:autoSpaceDN w:val="0"/>
        <w:adjustRightIn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若本企业（单位）发生有悖于上述保证的行为，愿意接受法律法规中对投标人的相关处理。</w:t>
      </w:r>
    </w:p>
    <w:p>
      <w:pPr>
        <w:autoSpaceDE w:val="0"/>
        <w:autoSpaceDN w:val="0"/>
        <w:adjustRightInd w:val="0"/>
        <w:spacing w:line="40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本保证书是本项目投标文件的组成部分。</w:t>
      </w:r>
    </w:p>
    <w:p>
      <w:pPr>
        <w:autoSpaceDE w:val="0"/>
        <w:autoSpaceDN w:val="0"/>
        <w:adjustRightInd w:val="0"/>
        <w:spacing w:line="40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jc w:val="righ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投标人：（公章）</w:t>
      </w:r>
    </w:p>
    <w:p>
      <w:pPr>
        <w:autoSpaceDE w:val="0"/>
        <w:autoSpaceDN w:val="0"/>
        <w:adjustRightIn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法定代表人签字或盖章/授权委托人签字：</w:t>
      </w:r>
    </w:p>
    <w:p>
      <w:pPr>
        <w:autoSpaceDE w:val="0"/>
        <w:autoSpaceDN w:val="0"/>
        <w:adjustRightInd w:val="0"/>
        <w:spacing w:line="400" w:lineRule="exact"/>
        <w:jc w:val="righ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年  月  日</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pStyle w:val="2"/>
        <w:ind w:left="400" w:hanging="400"/>
        <w:rPr>
          <w:color w:val="000000" w:themeColor="text1"/>
          <w:highlight w:val="none"/>
          <w14:textFill>
            <w14:solidFill>
              <w14:schemeClr w14:val="tx1"/>
            </w14:solidFill>
          </w14:textFill>
        </w:rPr>
      </w:pPr>
    </w:p>
    <w:p>
      <w:pPr>
        <w:adjustRightInd w:val="0"/>
        <w:snapToGrid w:val="0"/>
        <w:spacing w:line="360" w:lineRule="auto"/>
        <w:rPr>
          <w:rFonts w:ascii="宋体" w:hAnsi="宋体" w:cs="宋体"/>
          <w:b/>
          <w:bCs/>
          <w:color w:val="000000" w:themeColor="text1"/>
          <w:sz w:val="28"/>
          <w:szCs w:val="28"/>
          <w:highlight w:val="none"/>
          <w14:textFill>
            <w14:solidFill>
              <w14:schemeClr w14:val="tx1"/>
            </w14:solidFill>
          </w14:textFill>
        </w:rPr>
      </w:pPr>
      <w:bookmarkStart w:id="179" w:name="_Toc19938_WPSOffice_Level1"/>
      <w:r>
        <w:rPr>
          <w:rFonts w:hint="eastAsia" w:ascii="宋体" w:hAnsi="宋体" w:cs="宋体"/>
          <w:b/>
          <w:bCs/>
          <w:color w:val="000000" w:themeColor="text1"/>
          <w:sz w:val="28"/>
          <w:szCs w:val="28"/>
          <w:highlight w:val="none"/>
          <w14:textFill>
            <w14:solidFill>
              <w14:schemeClr w14:val="tx1"/>
            </w14:solidFill>
          </w14:textFill>
        </w:rPr>
        <w:t>附件9</w:t>
      </w:r>
    </w:p>
    <w:p>
      <w:pPr>
        <w:pStyle w:val="11"/>
        <w:kinsoku w:val="0"/>
        <w:overflowPunct w:val="0"/>
        <w:ind w:left="90" w:right="3197"/>
        <w:jc w:val="center"/>
        <w:rPr>
          <w:rFonts w:ascii="楷体" w:eastAsia="楷体" w:cs="楷体"/>
          <w:color w:val="000000" w:themeColor="text1"/>
          <w:sz w:val="20"/>
          <w:szCs w:val="20"/>
          <w:highlight w:val="none"/>
          <w14:textFill>
            <w14:solidFill>
              <w14:schemeClr w14:val="tx1"/>
            </w14:solidFill>
          </w14:textFill>
        </w:rPr>
      </w:pPr>
      <w:r>
        <w:rPr>
          <w:rFonts w:hint="eastAsia" w:ascii="黑体" w:cs="黑体"/>
          <w:b w:val="0"/>
          <w:color w:val="000000" w:themeColor="text1"/>
          <w:sz w:val="36"/>
          <w:szCs w:val="36"/>
          <w:highlight w:val="none"/>
          <w14:textFill>
            <w14:solidFill>
              <w14:schemeClr w14:val="tx1"/>
            </w14:solidFill>
          </w14:textFill>
        </w:rPr>
        <w:t xml:space="preserve">            供应商廉洁承诺书</w:t>
      </w:r>
      <w:r>
        <w:rPr>
          <w:rFonts w:ascii="楷体" w:eastAsia="楷体" w:cs="楷体"/>
          <w:color w:val="000000" w:themeColor="text1"/>
          <w:sz w:val="30"/>
          <w:szCs w:val="30"/>
          <w:highlight w:val="none"/>
          <w14:textFill>
            <w14:solidFill>
              <w14:schemeClr w14:val="tx1"/>
            </w14:solidFill>
          </w14:textFill>
        </w:rPr>
        <w:t xml:space="preserve">              </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为维护公平竞争的市场秩序，我方自愿在参与贵方组织招标采购（合作）等商业往来活动中，加强有关人员廉洁从业管理，恪守商业道德，从源头预防和遏制违法、违规、违纪行为发生，特做出以下承诺：</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一、严格遵守国家有关法律法规，坚持诚实守信原则，恪守商业道德，规范商务人员廉洁从业行为。</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二、决不伙同他人串标、围标或非法排挤竞争对手，决不在商业活动中提供虚假资料，决不发生损害贵方合法权益等行为，决不从事妨碍正常交易的其他违法行为。</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三、决不违规获取贵方保密商业活动涉及的所有相关信息，决不与贵方工作人员</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含工作人员的配偶、子女及亲属等，下同</w:t>
      </w:r>
      <w:r>
        <w:rPr>
          <w:rFonts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合谋进行弄虚作假、串通招标等违规活动。</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五、决不为贵方工作人员提供和安排有可能影响公平、公正交易的宴请、健身、度假、旅游、娱乐等活动。</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六、决不为贵方工作人员投资入股、个人借款或买卖股票、债券等提供方便。</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七、决不为贵方工作人员购买或装修住房、婚丧嫁娶、配偶子女上学或工作安排以及出国出境、旅游等提供方便。</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八、决不违反规定为贵方工作人员在我方相关企业挂名兼职、合伙经营、介绍承揽业务等提供方便。</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九、贵方对涉嫌不廉洁的商业行为进行调查时，我方有配合提供证据、作证的义务。</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十、未经贵方同意，我方不向任何新闻媒体、第三人述及有关贵方工作人员恪守商业道德方面的评价、信息。</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十一、我方承诺未被国家机关列入执行行贿人“黑名单”</w:t>
      </w:r>
      <w:r>
        <w:rPr>
          <w:rFonts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或失信被执行人。</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十二、发现贵方工作人员有违反本承诺书行为或行为倾向的，将及时提醒纠正并向贵方纪检监察部门举报，同时积极配合贵方进行调查</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纪检联系人</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胡静，联系电话</w:t>
      </w:r>
      <w:r>
        <w:rPr>
          <w:rFonts w:ascii="宋体" w:hAnsi="宋体" w:cs="宋体"/>
          <w:color w:val="000000" w:themeColor="text1"/>
          <w:sz w:val="24"/>
          <w:highlight w:val="none"/>
          <w:lang w:val="zh-CN"/>
          <w14:textFill>
            <w14:solidFill>
              <w14:schemeClr w14:val="tx1"/>
            </w14:solidFill>
          </w14:textFill>
        </w:rPr>
        <w:t>: 15951819304)</w:t>
      </w:r>
      <w:r>
        <w:rPr>
          <w:rFonts w:hint="eastAsia" w:ascii="宋体" w:hAnsi="宋体" w:cs="宋体"/>
          <w:color w:val="000000" w:themeColor="text1"/>
          <w:sz w:val="24"/>
          <w:highlight w:val="none"/>
          <w:lang w:val="zh-CN"/>
          <w14:textFill>
            <w14:solidFill>
              <w14:schemeClr w14:val="tx1"/>
            </w14:solidFill>
          </w14:textFill>
        </w:rPr>
        <w:t>。</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十三、本承诺书构成我方与贵方之间进行的所有商业活动所签订合同的不可分割的一部分，不因相关合同期限届满而终止。</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如已中标，则中标无效；已签订合同的，终止执行，暂停结算合同未支付款项</w:t>
      </w:r>
      <w:r>
        <w:rPr>
          <w:rFonts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，无条件赔偿贵方遭受的经济损失，并列入永久禁入贵方供应商黑名单。</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本承诺书一式两份，贵方和我方各持一份。</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承诺方：（盖章）</w:t>
      </w:r>
      <w:r>
        <w:rPr>
          <w:rFonts w:ascii="宋体" w:hAnsi="宋体" w:cs="宋体"/>
          <w:color w:val="000000" w:themeColor="text1"/>
          <w:sz w:val="24"/>
          <w:highlight w:val="none"/>
          <w:lang w:val="zh-CN"/>
          <w14:textFill>
            <w14:solidFill>
              <w14:schemeClr w14:val="tx1"/>
            </w14:solidFill>
          </w14:textFill>
        </w:rPr>
        <w:t xml:space="preserve"> </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法定代表人：（签字）</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注册地址：</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单位联系人：</w:t>
      </w:r>
      <w:r>
        <w:rPr>
          <w:rFonts w:ascii="宋体" w:hAnsi="宋体" w:cs="宋体"/>
          <w:color w:val="000000" w:themeColor="text1"/>
          <w:sz w:val="24"/>
          <w:highlight w:val="none"/>
          <w:lang w:val="zh-CN"/>
          <w14:textFill>
            <w14:solidFill>
              <w14:schemeClr w14:val="tx1"/>
            </w14:solidFill>
          </w14:textFill>
        </w:rPr>
        <w:t xml:space="preserve"> </w:t>
      </w:r>
    </w:p>
    <w:p>
      <w:pPr>
        <w:autoSpaceDE w:val="0"/>
        <w:autoSpaceDN w:val="0"/>
        <w:adjustRightInd w:val="0"/>
        <w:spacing w:line="400" w:lineRule="exact"/>
        <w:ind w:firstLine="48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联系电话：</w:t>
      </w:r>
    </w:p>
    <w:p>
      <w:pPr>
        <w:adjustRightInd w:val="0"/>
        <w:snapToGrid w:val="0"/>
        <w:spacing w:line="380" w:lineRule="exact"/>
        <w:rPr>
          <w:rFonts w:asciiTheme="minorEastAsia" w:hAnsiTheme="minorEastAsia" w:eastAsiaTheme="minorEastAsia"/>
          <w:snapToGrid w:val="0"/>
          <w:color w:val="000000" w:themeColor="text1"/>
          <w:kern w:val="0"/>
          <w:sz w:val="24"/>
          <w:highlight w:val="none"/>
          <w14:textFill>
            <w14:solidFill>
              <w14:schemeClr w14:val="tx1"/>
            </w14:solidFill>
          </w14:textFill>
        </w:rPr>
        <w:sectPr>
          <w:pgSz w:w="11906" w:h="16838"/>
          <w:pgMar w:top="1304" w:right="1304" w:bottom="1134" w:left="1304" w:header="851" w:footer="992" w:gutter="0"/>
          <w:cols w:space="720" w:num="1"/>
          <w:docGrid w:type="lines" w:linePitch="312" w:charSpace="0"/>
        </w:sectPr>
      </w:pPr>
      <w:r>
        <w:rPr>
          <w:rFonts w:hint="eastAsia" w:asciiTheme="minorEastAsia" w:hAnsiTheme="minorEastAsia" w:eastAsiaTheme="minorEastAsia"/>
          <w:snapToGrid w:val="0"/>
          <w:color w:val="000000" w:themeColor="text1"/>
          <w:kern w:val="0"/>
          <w:sz w:val="24"/>
          <w:highlight w:val="none"/>
          <w14:textFill>
            <w14:solidFill>
              <w14:schemeClr w14:val="tx1"/>
            </w14:solidFill>
          </w14:textFill>
        </w:rPr>
        <w:tab/>
      </w:r>
    </w:p>
    <w:p>
      <w:pPr>
        <w:adjustRightInd w:val="0"/>
        <w:snapToGrid w:val="0"/>
        <w:spacing w:line="360" w:lineRule="auto"/>
        <w:rPr>
          <w:rFonts w:ascii="宋体" w:hAnsi="宋体" w:cs="宋体"/>
          <w:b/>
          <w:bCs/>
          <w:color w:val="000000" w:themeColor="text1"/>
          <w:kern w:val="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附件10</w:t>
      </w:r>
      <w:r>
        <w:rPr>
          <w:rFonts w:hint="eastAsia" w:ascii="宋体" w:hAnsi="宋体" w:cs="宋体"/>
          <w:b/>
          <w:bCs/>
          <w:color w:val="000000" w:themeColor="text1"/>
          <w:kern w:val="1"/>
          <w:sz w:val="28"/>
          <w:szCs w:val="28"/>
          <w:highlight w:val="none"/>
          <w14:textFill>
            <w14:solidFill>
              <w14:schemeClr w14:val="tx1"/>
            </w14:solidFill>
          </w14:textFill>
        </w:rPr>
        <w:t>其他相关证明材料</w:t>
      </w:r>
      <w:bookmarkEnd w:id="179"/>
    </w:p>
    <w:p>
      <w:pPr>
        <w:spacing w:line="320" w:lineRule="exact"/>
        <w:jc w:val="center"/>
        <w:rPr>
          <w:rFonts w:ascii="宋体" w:hAnsi="宋体"/>
          <w:b/>
          <w:color w:val="000000" w:themeColor="text1"/>
          <w:sz w:val="30"/>
          <w:szCs w:val="30"/>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6" w:firstLineChars="200"/>
        <w:rPr>
          <w:rFonts w:ascii="宋体" w:hAnsi="宋体" w:cs="宋体"/>
          <w:b/>
          <w:color w:val="000000" w:themeColor="text1"/>
          <w:sz w:val="24"/>
          <w:highlight w:val="none"/>
          <w14:textFill>
            <w14:solidFill>
              <w14:schemeClr w14:val="tx1"/>
            </w14:solidFill>
          </w14:textFill>
        </w:rPr>
      </w:pPr>
    </w:p>
    <w:p>
      <w:pPr>
        <w:spacing w:line="320" w:lineRule="exact"/>
        <w:rPr>
          <w:rFonts w:ascii="宋体" w:hAnsi="宋体"/>
          <w:b/>
          <w:color w:val="000000" w:themeColor="text1"/>
          <w:sz w:val="30"/>
          <w:szCs w:val="30"/>
          <w:highlight w:val="none"/>
          <w14:textFill>
            <w14:solidFill>
              <w14:schemeClr w14:val="tx1"/>
            </w14:solidFill>
          </w14:textFill>
        </w:rPr>
      </w:pPr>
    </w:p>
    <w:sectPr>
      <w:footerReference r:id="rId16" w:type="default"/>
      <w:pgSz w:w="11906" w:h="16838"/>
      <w:pgMar w:top="1440" w:right="1080" w:bottom="1440" w:left="1080"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1"/>
      </w:pBdr>
      <w:rPr>
        <w:sz w:val="20"/>
      </w:rPr>
    </w:pPr>
  </w:p>
  <w:p>
    <w:pPr>
      <w:pStyle w:val="22"/>
      <w:pBdr>
        <w:top w:val="thinThickSmallGap" w:color="auto" w:sz="24" w:space="1"/>
      </w:pBd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rPr>
        <w:sz w:val="20"/>
      </w:rPr>
    </w:pPr>
    <w:r>
      <w:rPr>
        <w:sz w:val="20"/>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59" w:rightChars="171" w:firstLine="810" w:firstLineChars="4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002"/>
    </w:sdtPr>
    <w:sdtContent>
      <w:p>
        <w:pPr>
          <w:pStyle w:val="22"/>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22"/>
      <w:ind w:right="359" w:rightChars="171" w:firstLine="810" w:firstLineChars="4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文本框 3"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3vtH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Pe+0dIBAACjAwAADgAAAAAAAAABACAAAAAi&#10;AQAAZHJzL2Uyb0RvYy54bWxQSwUGAAAAAAYABgBZAQAAZg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1"/>
      </w:pBd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21"/>
      <w:jc w:val="center"/>
      <w:rPr>
        <w:rFonts w:ascii="宋体" w:hAnsi="宋体" w:eastAsia="宋体" w:cs="宋体"/>
        <w:sz w:val="18"/>
        <w:szCs w:val="18"/>
      </w:rPr>
    </w:pPr>
    <w:r>
      <w:rPr>
        <w:rFonts w:hint="eastAsia" w:ascii="宋体" w:hAnsi="宋体" w:eastAsia="宋体" w:cs="宋体"/>
        <w:sz w:val="18"/>
        <w:szCs w:val="18"/>
      </w:rPr>
      <w:t>高邮、宝应区域内测绘及市政勘测劳务服务项目招标文件</w:t>
    </w:r>
  </w:p>
  <w:p>
    <w:pPr>
      <w:pStyle w:val="23"/>
      <w:pBdr>
        <w:bottom w:val="thinThickSmallGap"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高邮、宝应区域测绘及市政勘测劳务服务项目</w:t>
    </w:r>
    <w:r>
      <w:pict>
        <v:shape id="WordPictureWatermark197705505" o:spid="_x0000_s2063" o:spt="75" type="#_x0000_t75" style="position:absolute;left:0pt;height:216.65pt;width:439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2" o:spid="_x0000_s2062" o:spt="75" type="#_x0000_t75" style="position:absolute;left:0pt;height:216.65pt;width:439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61" o:spid="_x0000_s2061" o:spt="75" type="#_x0000_t75" style="position:absolute;left:0pt;height:216.65pt;width:439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221"/>
      <w:jc w:val="center"/>
      <w:rPr>
        <w:rFonts w:ascii="宋体" w:hAnsi="宋体" w:eastAsia="宋体" w:cs="宋体"/>
        <w:sz w:val="18"/>
        <w:szCs w:val="18"/>
      </w:rPr>
    </w:pPr>
    <w:r>
      <w:rPr>
        <w:rFonts w:hint="eastAsia" w:ascii="宋体" w:hAnsi="宋体" w:eastAsia="宋体" w:cs="宋体"/>
        <w:sz w:val="18"/>
        <w:szCs w:val="18"/>
      </w:rPr>
      <w:t>高邮、宝应区域内测绘及市政勘测劳务服务项目招标文件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1" o:spid="_x0000_s2057" o:spt="75" type="#_x0000_t75" style="position:absolute;left:0pt;height:216.65pt;width:439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WordPictureWatermark197705500" o:spid="_x0000_s2056" o:spt="75" type="#_x0000_t75" style="position:absolute;left:0pt;height:216.65pt;width:439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位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85AC3"/>
    <w:multiLevelType w:val="singleLevel"/>
    <w:tmpl w:val="BC785AC3"/>
    <w:lvl w:ilvl="0" w:tentative="0">
      <w:start w:val="1"/>
      <w:numFmt w:val="chineseCounting"/>
      <w:suff w:val="nothing"/>
      <w:lvlText w:val="%1、"/>
      <w:lvlJc w:val="left"/>
      <w:rPr>
        <w:rFonts w:hint="eastAsia"/>
      </w:rPr>
    </w:lvl>
  </w:abstractNum>
  <w:abstractNum w:abstractNumId="1">
    <w:nsid w:val="F819893F"/>
    <w:multiLevelType w:val="singleLevel"/>
    <w:tmpl w:val="F819893F"/>
    <w:lvl w:ilvl="0" w:tentative="0">
      <w:start w:val="2"/>
      <w:numFmt w:val="decimal"/>
      <w:suff w:val="nothing"/>
      <w:lvlText w:val="%1、"/>
      <w:lvlJc w:val="left"/>
    </w:lvl>
  </w:abstractNum>
  <w:abstractNum w:abstractNumId="2">
    <w:nsid w:val="FFFFFF80"/>
    <w:multiLevelType w:val="singleLevel"/>
    <w:tmpl w:val="FFFFFF80"/>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3">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4">
    <w:nsid w:val="1548A4B5"/>
    <w:multiLevelType w:val="singleLevel"/>
    <w:tmpl w:val="1548A4B5"/>
    <w:lvl w:ilvl="0" w:tentative="0">
      <w:start w:val="6"/>
      <w:numFmt w:val="chineseCounting"/>
      <w:suff w:val="nothing"/>
      <w:lvlText w:val="（%1）"/>
      <w:lvlJc w:val="left"/>
      <w:rPr>
        <w:rFonts w:hint="eastAsia"/>
      </w:rPr>
    </w:lvl>
  </w:abstractNum>
  <w:abstractNum w:abstractNumId="5">
    <w:nsid w:val="2339F79C"/>
    <w:multiLevelType w:val="singleLevel"/>
    <w:tmpl w:val="2339F79C"/>
    <w:lvl w:ilvl="0" w:tentative="0">
      <w:start w:val="1"/>
      <w:numFmt w:val="chineseCounting"/>
      <w:suff w:val="nothing"/>
      <w:lvlText w:val="%1、"/>
      <w:lvlJc w:val="left"/>
      <w:rPr>
        <w:rFonts w:hint="eastAsia"/>
      </w:rPr>
    </w:lvl>
  </w:abstractNum>
  <w:abstractNum w:abstractNumId="6">
    <w:nsid w:val="25515472"/>
    <w:multiLevelType w:val="multilevel"/>
    <w:tmpl w:val="255154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5DF2035"/>
    <w:multiLevelType w:val="multilevel"/>
    <w:tmpl w:val="25DF2035"/>
    <w:lvl w:ilvl="0" w:tentative="0">
      <w:start w:val="1"/>
      <w:numFmt w:val="japaneseCounting"/>
      <w:lvlText w:val="第%1条"/>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6C6E1F"/>
    <w:multiLevelType w:val="multilevel"/>
    <w:tmpl w:val="466C6E1F"/>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9">
    <w:nsid w:val="63557B35"/>
    <w:multiLevelType w:val="singleLevel"/>
    <w:tmpl w:val="63557B35"/>
    <w:lvl w:ilvl="0" w:tentative="0">
      <w:start w:val="1"/>
      <w:numFmt w:val="upperLetter"/>
      <w:pStyle w:val="6"/>
      <w:lvlText w:val="%1、"/>
      <w:lvlJc w:val="left"/>
      <w:pPr>
        <w:tabs>
          <w:tab w:val="left" w:pos="1035"/>
        </w:tabs>
        <w:ind w:left="1035" w:hanging="420"/>
      </w:pPr>
      <w:rPr>
        <w:rFonts w:hint="eastAsia"/>
      </w:rPr>
    </w:lvl>
  </w:abstractNum>
  <w:num w:numId="1">
    <w:abstractNumId w:val="8"/>
  </w:num>
  <w:num w:numId="2">
    <w:abstractNumId w:val="9"/>
  </w:num>
  <w:num w:numId="3">
    <w:abstractNumId w:val="3"/>
  </w:num>
  <w:num w:numId="4">
    <w:abstractNumId w:val="2"/>
  </w:num>
  <w:num w:numId="5">
    <w:abstractNumId w:val="6"/>
  </w:num>
  <w:num w:numId="6">
    <w:abstractNumId w:val="0"/>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zN2Q3M2RiNzUyNmNmOTQ3ZTcwNWUxZTA1MTljMTQifQ=="/>
  </w:docVars>
  <w:rsids>
    <w:rsidRoot w:val="00CA3E05"/>
    <w:rsid w:val="00004367"/>
    <w:rsid w:val="00004475"/>
    <w:rsid w:val="00014871"/>
    <w:rsid w:val="00026B96"/>
    <w:rsid w:val="000273D7"/>
    <w:rsid w:val="00027FC4"/>
    <w:rsid w:val="00032D4C"/>
    <w:rsid w:val="000455D7"/>
    <w:rsid w:val="0005086D"/>
    <w:rsid w:val="00053E8A"/>
    <w:rsid w:val="00067AC3"/>
    <w:rsid w:val="00070950"/>
    <w:rsid w:val="00070F8A"/>
    <w:rsid w:val="000824F3"/>
    <w:rsid w:val="000859E1"/>
    <w:rsid w:val="000862BE"/>
    <w:rsid w:val="000A1E79"/>
    <w:rsid w:val="000B3D95"/>
    <w:rsid w:val="000C4545"/>
    <w:rsid w:val="000C590F"/>
    <w:rsid w:val="000E3154"/>
    <w:rsid w:val="000F60DA"/>
    <w:rsid w:val="001016E8"/>
    <w:rsid w:val="00103A9E"/>
    <w:rsid w:val="00110DC9"/>
    <w:rsid w:val="00112650"/>
    <w:rsid w:val="001202D1"/>
    <w:rsid w:val="001218EA"/>
    <w:rsid w:val="0012378C"/>
    <w:rsid w:val="001240BE"/>
    <w:rsid w:val="00125AE4"/>
    <w:rsid w:val="00132D18"/>
    <w:rsid w:val="00133A5D"/>
    <w:rsid w:val="00153015"/>
    <w:rsid w:val="001540FB"/>
    <w:rsid w:val="00154501"/>
    <w:rsid w:val="00155F83"/>
    <w:rsid w:val="00163A59"/>
    <w:rsid w:val="00167B97"/>
    <w:rsid w:val="0017204D"/>
    <w:rsid w:val="00190701"/>
    <w:rsid w:val="00192F29"/>
    <w:rsid w:val="00193B93"/>
    <w:rsid w:val="00195CB2"/>
    <w:rsid w:val="00195E8C"/>
    <w:rsid w:val="001A0190"/>
    <w:rsid w:val="001A6CEF"/>
    <w:rsid w:val="001B279A"/>
    <w:rsid w:val="001B2F75"/>
    <w:rsid w:val="001C54A3"/>
    <w:rsid w:val="001C5C00"/>
    <w:rsid w:val="001D58CB"/>
    <w:rsid w:val="001E1E8D"/>
    <w:rsid w:val="001E684A"/>
    <w:rsid w:val="001F1EB7"/>
    <w:rsid w:val="001F3048"/>
    <w:rsid w:val="002103B3"/>
    <w:rsid w:val="00210FB6"/>
    <w:rsid w:val="00217413"/>
    <w:rsid w:val="002223E8"/>
    <w:rsid w:val="002257AA"/>
    <w:rsid w:val="002301A9"/>
    <w:rsid w:val="00231FE5"/>
    <w:rsid w:val="00240D01"/>
    <w:rsid w:val="0024502A"/>
    <w:rsid w:val="00250545"/>
    <w:rsid w:val="00255656"/>
    <w:rsid w:val="00257268"/>
    <w:rsid w:val="00263D88"/>
    <w:rsid w:val="00271613"/>
    <w:rsid w:val="00275816"/>
    <w:rsid w:val="00276159"/>
    <w:rsid w:val="002774A7"/>
    <w:rsid w:val="00285660"/>
    <w:rsid w:val="0028747C"/>
    <w:rsid w:val="00292F89"/>
    <w:rsid w:val="002A2CE7"/>
    <w:rsid w:val="002A5409"/>
    <w:rsid w:val="002A5532"/>
    <w:rsid w:val="002A5EFD"/>
    <w:rsid w:val="002B3606"/>
    <w:rsid w:val="002C5574"/>
    <w:rsid w:val="002C5D35"/>
    <w:rsid w:val="002D04DD"/>
    <w:rsid w:val="002D6C22"/>
    <w:rsid w:val="002D6FF7"/>
    <w:rsid w:val="002D7449"/>
    <w:rsid w:val="002E0CDB"/>
    <w:rsid w:val="002E285D"/>
    <w:rsid w:val="002E4EE0"/>
    <w:rsid w:val="002E4FE3"/>
    <w:rsid w:val="002E657A"/>
    <w:rsid w:val="002F13C0"/>
    <w:rsid w:val="002F5BDD"/>
    <w:rsid w:val="003056BA"/>
    <w:rsid w:val="00317E5B"/>
    <w:rsid w:val="003214E5"/>
    <w:rsid w:val="00326AED"/>
    <w:rsid w:val="00326D5E"/>
    <w:rsid w:val="00327E41"/>
    <w:rsid w:val="0033270D"/>
    <w:rsid w:val="00335299"/>
    <w:rsid w:val="0034192B"/>
    <w:rsid w:val="003433F4"/>
    <w:rsid w:val="00351E72"/>
    <w:rsid w:val="0035670E"/>
    <w:rsid w:val="00356DFD"/>
    <w:rsid w:val="00360F07"/>
    <w:rsid w:val="0036426B"/>
    <w:rsid w:val="00365BCB"/>
    <w:rsid w:val="003665CA"/>
    <w:rsid w:val="00372C69"/>
    <w:rsid w:val="00377029"/>
    <w:rsid w:val="00384C73"/>
    <w:rsid w:val="00390FF0"/>
    <w:rsid w:val="003956EA"/>
    <w:rsid w:val="003A34A7"/>
    <w:rsid w:val="003B4955"/>
    <w:rsid w:val="003B4A1A"/>
    <w:rsid w:val="003D63A4"/>
    <w:rsid w:val="003D7F66"/>
    <w:rsid w:val="003E2650"/>
    <w:rsid w:val="003E33D4"/>
    <w:rsid w:val="003E5181"/>
    <w:rsid w:val="003E539E"/>
    <w:rsid w:val="003E5F62"/>
    <w:rsid w:val="003F44B1"/>
    <w:rsid w:val="003F4D32"/>
    <w:rsid w:val="0040088F"/>
    <w:rsid w:val="004031E3"/>
    <w:rsid w:val="00404A0B"/>
    <w:rsid w:val="00412CF0"/>
    <w:rsid w:val="00414F3B"/>
    <w:rsid w:val="00420CD1"/>
    <w:rsid w:val="0042189B"/>
    <w:rsid w:val="004252C8"/>
    <w:rsid w:val="00433944"/>
    <w:rsid w:val="00440E29"/>
    <w:rsid w:val="00443B7B"/>
    <w:rsid w:val="0045049F"/>
    <w:rsid w:val="004667F0"/>
    <w:rsid w:val="00473F09"/>
    <w:rsid w:val="00474B7C"/>
    <w:rsid w:val="00477C28"/>
    <w:rsid w:val="00481CE3"/>
    <w:rsid w:val="00482218"/>
    <w:rsid w:val="004A2C96"/>
    <w:rsid w:val="004A3A79"/>
    <w:rsid w:val="004A435B"/>
    <w:rsid w:val="004C2219"/>
    <w:rsid w:val="004D58FF"/>
    <w:rsid w:val="004D72F3"/>
    <w:rsid w:val="004E0943"/>
    <w:rsid w:val="004E5CCF"/>
    <w:rsid w:val="004F3761"/>
    <w:rsid w:val="00501CF8"/>
    <w:rsid w:val="00501E9C"/>
    <w:rsid w:val="00503345"/>
    <w:rsid w:val="005059BF"/>
    <w:rsid w:val="00512F82"/>
    <w:rsid w:val="00520D97"/>
    <w:rsid w:val="0052232A"/>
    <w:rsid w:val="005225A2"/>
    <w:rsid w:val="00526422"/>
    <w:rsid w:val="0052761B"/>
    <w:rsid w:val="00536609"/>
    <w:rsid w:val="00537C3E"/>
    <w:rsid w:val="005402F7"/>
    <w:rsid w:val="005429DC"/>
    <w:rsid w:val="0054711F"/>
    <w:rsid w:val="00551257"/>
    <w:rsid w:val="00551A62"/>
    <w:rsid w:val="00557D59"/>
    <w:rsid w:val="00560AE3"/>
    <w:rsid w:val="0056102E"/>
    <w:rsid w:val="00562167"/>
    <w:rsid w:val="005626D1"/>
    <w:rsid w:val="00564A53"/>
    <w:rsid w:val="00567881"/>
    <w:rsid w:val="00567CFA"/>
    <w:rsid w:val="00572998"/>
    <w:rsid w:val="005842D2"/>
    <w:rsid w:val="00593806"/>
    <w:rsid w:val="005B137D"/>
    <w:rsid w:val="005B1AE5"/>
    <w:rsid w:val="005B24AD"/>
    <w:rsid w:val="005C402D"/>
    <w:rsid w:val="005C4798"/>
    <w:rsid w:val="005C604E"/>
    <w:rsid w:val="005D3D94"/>
    <w:rsid w:val="005E68AC"/>
    <w:rsid w:val="005F31B1"/>
    <w:rsid w:val="0060566B"/>
    <w:rsid w:val="00623F17"/>
    <w:rsid w:val="006242BC"/>
    <w:rsid w:val="006243CF"/>
    <w:rsid w:val="006269C6"/>
    <w:rsid w:val="00636C18"/>
    <w:rsid w:val="006440C3"/>
    <w:rsid w:val="00646DE0"/>
    <w:rsid w:val="00653024"/>
    <w:rsid w:val="00656CA9"/>
    <w:rsid w:val="006610E3"/>
    <w:rsid w:val="00675ECE"/>
    <w:rsid w:val="00680C35"/>
    <w:rsid w:val="006829FF"/>
    <w:rsid w:val="006865BA"/>
    <w:rsid w:val="0068683A"/>
    <w:rsid w:val="006915CC"/>
    <w:rsid w:val="006B2678"/>
    <w:rsid w:val="006C24B7"/>
    <w:rsid w:val="006C2601"/>
    <w:rsid w:val="006C27BC"/>
    <w:rsid w:val="006C4604"/>
    <w:rsid w:val="006D3F3B"/>
    <w:rsid w:val="006E3445"/>
    <w:rsid w:val="006F26BE"/>
    <w:rsid w:val="00703382"/>
    <w:rsid w:val="007038AA"/>
    <w:rsid w:val="00703CAC"/>
    <w:rsid w:val="00705165"/>
    <w:rsid w:val="0071027C"/>
    <w:rsid w:val="00710CBC"/>
    <w:rsid w:val="00726000"/>
    <w:rsid w:val="00732126"/>
    <w:rsid w:val="007343B3"/>
    <w:rsid w:val="007402BB"/>
    <w:rsid w:val="00740A05"/>
    <w:rsid w:val="00741E89"/>
    <w:rsid w:val="007450AE"/>
    <w:rsid w:val="00745F32"/>
    <w:rsid w:val="00756E23"/>
    <w:rsid w:val="007570CC"/>
    <w:rsid w:val="00760555"/>
    <w:rsid w:val="00764367"/>
    <w:rsid w:val="00772C4E"/>
    <w:rsid w:val="00774F27"/>
    <w:rsid w:val="00776381"/>
    <w:rsid w:val="00780AC3"/>
    <w:rsid w:val="007842B3"/>
    <w:rsid w:val="00785566"/>
    <w:rsid w:val="0079648F"/>
    <w:rsid w:val="00796D65"/>
    <w:rsid w:val="007A08C6"/>
    <w:rsid w:val="007A1A36"/>
    <w:rsid w:val="007A38ED"/>
    <w:rsid w:val="007A5885"/>
    <w:rsid w:val="007A6479"/>
    <w:rsid w:val="007B6C38"/>
    <w:rsid w:val="007C7383"/>
    <w:rsid w:val="007D6910"/>
    <w:rsid w:val="007E0D18"/>
    <w:rsid w:val="007E31CE"/>
    <w:rsid w:val="007E6285"/>
    <w:rsid w:val="007F16BF"/>
    <w:rsid w:val="007F33CB"/>
    <w:rsid w:val="0082044E"/>
    <w:rsid w:val="008205D7"/>
    <w:rsid w:val="00824DB0"/>
    <w:rsid w:val="00825CEC"/>
    <w:rsid w:val="00827B40"/>
    <w:rsid w:val="00830C02"/>
    <w:rsid w:val="00836CFA"/>
    <w:rsid w:val="0085207C"/>
    <w:rsid w:val="008609D8"/>
    <w:rsid w:val="0086700B"/>
    <w:rsid w:val="00870198"/>
    <w:rsid w:val="00871B71"/>
    <w:rsid w:val="00875256"/>
    <w:rsid w:val="00875305"/>
    <w:rsid w:val="008758BE"/>
    <w:rsid w:val="00877FFD"/>
    <w:rsid w:val="008A1AC4"/>
    <w:rsid w:val="008A406A"/>
    <w:rsid w:val="008A6254"/>
    <w:rsid w:val="008B0A8A"/>
    <w:rsid w:val="008B3FC1"/>
    <w:rsid w:val="008C2E0D"/>
    <w:rsid w:val="008C3EE0"/>
    <w:rsid w:val="008C712F"/>
    <w:rsid w:val="008C7E50"/>
    <w:rsid w:val="008F53E8"/>
    <w:rsid w:val="008F7ABC"/>
    <w:rsid w:val="00901442"/>
    <w:rsid w:val="00910D07"/>
    <w:rsid w:val="00917672"/>
    <w:rsid w:val="0092091F"/>
    <w:rsid w:val="00937128"/>
    <w:rsid w:val="00942851"/>
    <w:rsid w:val="009442A2"/>
    <w:rsid w:val="00947265"/>
    <w:rsid w:val="009522C5"/>
    <w:rsid w:val="00953D67"/>
    <w:rsid w:val="009602F7"/>
    <w:rsid w:val="009663DE"/>
    <w:rsid w:val="00971FE6"/>
    <w:rsid w:val="009804CC"/>
    <w:rsid w:val="009809ED"/>
    <w:rsid w:val="00981B92"/>
    <w:rsid w:val="00982DE4"/>
    <w:rsid w:val="0098727B"/>
    <w:rsid w:val="00995B3F"/>
    <w:rsid w:val="00997C16"/>
    <w:rsid w:val="009B119A"/>
    <w:rsid w:val="009B188A"/>
    <w:rsid w:val="009B7EBA"/>
    <w:rsid w:val="009D0487"/>
    <w:rsid w:val="009D1E3B"/>
    <w:rsid w:val="009F523D"/>
    <w:rsid w:val="009F79F4"/>
    <w:rsid w:val="00A03718"/>
    <w:rsid w:val="00A11E55"/>
    <w:rsid w:val="00A121D6"/>
    <w:rsid w:val="00A137B3"/>
    <w:rsid w:val="00A14A5D"/>
    <w:rsid w:val="00A16C9E"/>
    <w:rsid w:val="00A25480"/>
    <w:rsid w:val="00A258B8"/>
    <w:rsid w:val="00A25983"/>
    <w:rsid w:val="00A353E7"/>
    <w:rsid w:val="00A4103C"/>
    <w:rsid w:val="00A430D6"/>
    <w:rsid w:val="00A44557"/>
    <w:rsid w:val="00A44849"/>
    <w:rsid w:val="00A501CF"/>
    <w:rsid w:val="00A660CB"/>
    <w:rsid w:val="00A71716"/>
    <w:rsid w:val="00A72B0B"/>
    <w:rsid w:val="00A73BC0"/>
    <w:rsid w:val="00A73BDF"/>
    <w:rsid w:val="00A73D4A"/>
    <w:rsid w:val="00A74ABB"/>
    <w:rsid w:val="00A75B71"/>
    <w:rsid w:val="00A82E01"/>
    <w:rsid w:val="00A87A46"/>
    <w:rsid w:val="00A905B0"/>
    <w:rsid w:val="00AA1767"/>
    <w:rsid w:val="00AA21DD"/>
    <w:rsid w:val="00AB1485"/>
    <w:rsid w:val="00AB2C30"/>
    <w:rsid w:val="00AB4DA1"/>
    <w:rsid w:val="00AC3C97"/>
    <w:rsid w:val="00AC5AA8"/>
    <w:rsid w:val="00AC709F"/>
    <w:rsid w:val="00AE0633"/>
    <w:rsid w:val="00AE38BC"/>
    <w:rsid w:val="00AF0FC2"/>
    <w:rsid w:val="00AF19D2"/>
    <w:rsid w:val="00AF2BBF"/>
    <w:rsid w:val="00AF60B9"/>
    <w:rsid w:val="00B012B3"/>
    <w:rsid w:val="00B074BC"/>
    <w:rsid w:val="00B22513"/>
    <w:rsid w:val="00B250E3"/>
    <w:rsid w:val="00B32D1E"/>
    <w:rsid w:val="00B33D98"/>
    <w:rsid w:val="00B37542"/>
    <w:rsid w:val="00B447AD"/>
    <w:rsid w:val="00B449E1"/>
    <w:rsid w:val="00B456FA"/>
    <w:rsid w:val="00B51919"/>
    <w:rsid w:val="00B5642E"/>
    <w:rsid w:val="00B57BBB"/>
    <w:rsid w:val="00B60ECC"/>
    <w:rsid w:val="00B649D4"/>
    <w:rsid w:val="00B66F33"/>
    <w:rsid w:val="00B7011D"/>
    <w:rsid w:val="00B71866"/>
    <w:rsid w:val="00B80221"/>
    <w:rsid w:val="00B8321B"/>
    <w:rsid w:val="00B8483B"/>
    <w:rsid w:val="00B865F0"/>
    <w:rsid w:val="00B977D9"/>
    <w:rsid w:val="00BA31BE"/>
    <w:rsid w:val="00BB07B4"/>
    <w:rsid w:val="00BB19C4"/>
    <w:rsid w:val="00BB71BB"/>
    <w:rsid w:val="00BC512C"/>
    <w:rsid w:val="00BC79A9"/>
    <w:rsid w:val="00BD0838"/>
    <w:rsid w:val="00BD0B0C"/>
    <w:rsid w:val="00BD12F5"/>
    <w:rsid w:val="00BD15D0"/>
    <w:rsid w:val="00BE2B91"/>
    <w:rsid w:val="00BE59C9"/>
    <w:rsid w:val="00BF7285"/>
    <w:rsid w:val="00C057C9"/>
    <w:rsid w:val="00C25ABB"/>
    <w:rsid w:val="00C32DAE"/>
    <w:rsid w:val="00C4320C"/>
    <w:rsid w:val="00C46B4D"/>
    <w:rsid w:val="00C609D7"/>
    <w:rsid w:val="00C6260F"/>
    <w:rsid w:val="00C74F2E"/>
    <w:rsid w:val="00C750F2"/>
    <w:rsid w:val="00C77053"/>
    <w:rsid w:val="00C86D44"/>
    <w:rsid w:val="00C91DAE"/>
    <w:rsid w:val="00C9454A"/>
    <w:rsid w:val="00C97D15"/>
    <w:rsid w:val="00CA0C22"/>
    <w:rsid w:val="00CA3E05"/>
    <w:rsid w:val="00CC1D22"/>
    <w:rsid w:val="00CC2E9A"/>
    <w:rsid w:val="00CC59FD"/>
    <w:rsid w:val="00CD040B"/>
    <w:rsid w:val="00CD6A00"/>
    <w:rsid w:val="00CE2070"/>
    <w:rsid w:val="00CE300E"/>
    <w:rsid w:val="00CE5284"/>
    <w:rsid w:val="00CE5C7A"/>
    <w:rsid w:val="00CE7BE0"/>
    <w:rsid w:val="00CF1E26"/>
    <w:rsid w:val="00CF281C"/>
    <w:rsid w:val="00CF6145"/>
    <w:rsid w:val="00D04DDE"/>
    <w:rsid w:val="00D11FF6"/>
    <w:rsid w:val="00D30753"/>
    <w:rsid w:val="00D5137D"/>
    <w:rsid w:val="00D524B2"/>
    <w:rsid w:val="00D61E8F"/>
    <w:rsid w:val="00D62F17"/>
    <w:rsid w:val="00D64F4E"/>
    <w:rsid w:val="00D64FE1"/>
    <w:rsid w:val="00D66196"/>
    <w:rsid w:val="00D843DD"/>
    <w:rsid w:val="00D847BD"/>
    <w:rsid w:val="00D96BF1"/>
    <w:rsid w:val="00D973E0"/>
    <w:rsid w:val="00DA4AC2"/>
    <w:rsid w:val="00DA7219"/>
    <w:rsid w:val="00DB7128"/>
    <w:rsid w:val="00DC1B45"/>
    <w:rsid w:val="00DC2D05"/>
    <w:rsid w:val="00DC7D3A"/>
    <w:rsid w:val="00DD448E"/>
    <w:rsid w:val="00DD4847"/>
    <w:rsid w:val="00DE7928"/>
    <w:rsid w:val="00DE79B2"/>
    <w:rsid w:val="00DF5F32"/>
    <w:rsid w:val="00DF6721"/>
    <w:rsid w:val="00E10DBB"/>
    <w:rsid w:val="00E23B4B"/>
    <w:rsid w:val="00E24009"/>
    <w:rsid w:val="00E2562C"/>
    <w:rsid w:val="00E31E5A"/>
    <w:rsid w:val="00E426FA"/>
    <w:rsid w:val="00E444C9"/>
    <w:rsid w:val="00E57DB1"/>
    <w:rsid w:val="00E610AC"/>
    <w:rsid w:val="00E61275"/>
    <w:rsid w:val="00E70C9B"/>
    <w:rsid w:val="00E72396"/>
    <w:rsid w:val="00E8123D"/>
    <w:rsid w:val="00E81A83"/>
    <w:rsid w:val="00EA211E"/>
    <w:rsid w:val="00EB0FC4"/>
    <w:rsid w:val="00EB6266"/>
    <w:rsid w:val="00EB6CD8"/>
    <w:rsid w:val="00EB7152"/>
    <w:rsid w:val="00EC0DBE"/>
    <w:rsid w:val="00EE26E5"/>
    <w:rsid w:val="00EE505C"/>
    <w:rsid w:val="00EF4B02"/>
    <w:rsid w:val="00F0697B"/>
    <w:rsid w:val="00F30CEF"/>
    <w:rsid w:val="00F3330A"/>
    <w:rsid w:val="00F33490"/>
    <w:rsid w:val="00F41AE5"/>
    <w:rsid w:val="00F6752D"/>
    <w:rsid w:val="00F8412F"/>
    <w:rsid w:val="00F860DA"/>
    <w:rsid w:val="00F86D96"/>
    <w:rsid w:val="00F957AF"/>
    <w:rsid w:val="00FA615D"/>
    <w:rsid w:val="00FB02F7"/>
    <w:rsid w:val="00FB0F95"/>
    <w:rsid w:val="00FB162E"/>
    <w:rsid w:val="00FC1D44"/>
    <w:rsid w:val="00FD1222"/>
    <w:rsid w:val="00FD1690"/>
    <w:rsid w:val="00FD49E9"/>
    <w:rsid w:val="00FE3DDB"/>
    <w:rsid w:val="00FE4284"/>
    <w:rsid w:val="00FE7779"/>
    <w:rsid w:val="00FF1198"/>
    <w:rsid w:val="00FF2DEA"/>
    <w:rsid w:val="00FF3DDA"/>
    <w:rsid w:val="015F6BF5"/>
    <w:rsid w:val="027D097E"/>
    <w:rsid w:val="02C777E4"/>
    <w:rsid w:val="02CE2D69"/>
    <w:rsid w:val="02DA0501"/>
    <w:rsid w:val="02E34CF6"/>
    <w:rsid w:val="02FB6AB9"/>
    <w:rsid w:val="030D276E"/>
    <w:rsid w:val="03480458"/>
    <w:rsid w:val="035B6709"/>
    <w:rsid w:val="03A1332A"/>
    <w:rsid w:val="03C75596"/>
    <w:rsid w:val="03DB58AE"/>
    <w:rsid w:val="03EB68B2"/>
    <w:rsid w:val="03EE1BDA"/>
    <w:rsid w:val="040F5911"/>
    <w:rsid w:val="041E27B1"/>
    <w:rsid w:val="04550D0B"/>
    <w:rsid w:val="04627A4C"/>
    <w:rsid w:val="04726B11"/>
    <w:rsid w:val="04755F9F"/>
    <w:rsid w:val="04A61A66"/>
    <w:rsid w:val="04D43351"/>
    <w:rsid w:val="050B047A"/>
    <w:rsid w:val="05403B58"/>
    <w:rsid w:val="055D5FD6"/>
    <w:rsid w:val="056C4884"/>
    <w:rsid w:val="057611E8"/>
    <w:rsid w:val="058E5ACF"/>
    <w:rsid w:val="06595862"/>
    <w:rsid w:val="066D4A02"/>
    <w:rsid w:val="069B5F6E"/>
    <w:rsid w:val="06C77EAF"/>
    <w:rsid w:val="06E16D1C"/>
    <w:rsid w:val="076D436E"/>
    <w:rsid w:val="07727908"/>
    <w:rsid w:val="07EE4655"/>
    <w:rsid w:val="081F63D7"/>
    <w:rsid w:val="084359D7"/>
    <w:rsid w:val="08647983"/>
    <w:rsid w:val="088E718F"/>
    <w:rsid w:val="08AD23C0"/>
    <w:rsid w:val="08AD6BA5"/>
    <w:rsid w:val="08B207A0"/>
    <w:rsid w:val="08BD69CD"/>
    <w:rsid w:val="090C6220"/>
    <w:rsid w:val="092D733C"/>
    <w:rsid w:val="09315420"/>
    <w:rsid w:val="09784E8E"/>
    <w:rsid w:val="09A96805"/>
    <w:rsid w:val="09C42CDA"/>
    <w:rsid w:val="09F1408A"/>
    <w:rsid w:val="0A031E7F"/>
    <w:rsid w:val="0A8F3391"/>
    <w:rsid w:val="0A981B48"/>
    <w:rsid w:val="0AA5763A"/>
    <w:rsid w:val="0AE21FC6"/>
    <w:rsid w:val="0B174A82"/>
    <w:rsid w:val="0B5120DC"/>
    <w:rsid w:val="0BA534A3"/>
    <w:rsid w:val="0BE519B4"/>
    <w:rsid w:val="0C121C6B"/>
    <w:rsid w:val="0C170EE7"/>
    <w:rsid w:val="0C9004D3"/>
    <w:rsid w:val="0CBC72EB"/>
    <w:rsid w:val="0CE23675"/>
    <w:rsid w:val="0CF63318"/>
    <w:rsid w:val="0D0552EC"/>
    <w:rsid w:val="0D9E75F2"/>
    <w:rsid w:val="0E6403B4"/>
    <w:rsid w:val="0E661CC4"/>
    <w:rsid w:val="0ED41956"/>
    <w:rsid w:val="0EFB440F"/>
    <w:rsid w:val="0F735497"/>
    <w:rsid w:val="0FCA1EB5"/>
    <w:rsid w:val="0FCC3C49"/>
    <w:rsid w:val="100C2B59"/>
    <w:rsid w:val="103C5BB7"/>
    <w:rsid w:val="10BF7674"/>
    <w:rsid w:val="111B52E1"/>
    <w:rsid w:val="116B2F7D"/>
    <w:rsid w:val="116C5A95"/>
    <w:rsid w:val="11D97C8B"/>
    <w:rsid w:val="122C5669"/>
    <w:rsid w:val="123737A3"/>
    <w:rsid w:val="123A289C"/>
    <w:rsid w:val="125E594D"/>
    <w:rsid w:val="12621B7E"/>
    <w:rsid w:val="126A56E6"/>
    <w:rsid w:val="12987433"/>
    <w:rsid w:val="129B0458"/>
    <w:rsid w:val="135E0806"/>
    <w:rsid w:val="13726ED1"/>
    <w:rsid w:val="13790C3F"/>
    <w:rsid w:val="140B4BCE"/>
    <w:rsid w:val="1489188A"/>
    <w:rsid w:val="14DD43FF"/>
    <w:rsid w:val="155405F0"/>
    <w:rsid w:val="158362D6"/>
    <w:rsid w:val="15865D44"/>
    <w:rsid w:val="162035F7"/>
    <w:rsid w:val="168D76CC"/>
    <w:rsid w:val="16A15E34"/>
    <w:rsid w:val="16D10C9D"/>
    <w:rsid w:val="16D36F5F"/>
    <w:rsid w:val="16FE284F"/>
    <w:rsid w:val="17311BF3"/>
    <w:rsid w:val="17BB21E5"/>
    <w:rsid w:val="185764C0"/>
    <w:rsid w:val="186D6D45"/>
    <w:rsid w:val="18826540"/>
    <w:rsid w:val="189D6998"/>
    <w:rsid w:val="18B212B2"/>
    <w:rsid w:val="18DF0BAB"/>
    <w:rsid w:val="19214AFB"/>
    <w:rsid w:val="194C0873"/>
    <w:rsid w:val="19C46EB8"/>
    <w:rsid w:val="19C775C9"/>
    <w:rsid w:val="19D2666F"/>
    <w:rsid w:val="19DB3E23"/>
    <w:rsid w:val="1A274A7E"/>
    <w:rsid w:val="1A42425D"/>
    <w:rsid w:val="1A7942E1"/>
    <w:rsid w:val="1B277B17"/>
    <w:rsid w:val="1B337606"/>
    <w:rsid w:val="1BBE63C9"/>
    <w:rsid w:val="1BC254CD"/>
    <w:rsid w:val="1BC341C2"/>
    <w:rsid w:val="1BC91CE0"/>
    <w:rsid w:val="1C6B4262"/>
    <w:rsid w:val="1CDC7415"/>
    <w:rsid w:val="1D551D5E"/>
    <w:rsid w:val="1D787952"/>
    <w:rsid w:val="1DC71242"/>
    <w:rsid w:val="1DD8618C"/>
    <w:rsid w:val="1DE075B2"/>
    <w:rsid w:val="1DE40E1B"/>
    <w:rsid w:val="1E547BF9"/>
    <w:rsid w:val="1E996BA5"/>
    <w:rsid w:val="1EE32A34"/>
    <w:rsid w:val="1F3142BA"/>
    <w:rsid w:val="1F824222"/>
    <w:rsid w:val="1F860315"/>
    <w:rsid w:val="1F9A163F"/>
    <w:rsid w:val="1FB378EB"/>
    <w:rsid w:val="1FCB0685"/>
    <w:rsid w:val="1FDA769D"/>
    <w:rsid w:val="1FE11926"/>
    <w:rsid w:val="202C3B58"/>
    <w:rsid w:val="20745557"/>
    <w:rsid w:val="20813275"/>
    <w:rsid w:val="20AF7176"/>
    <w:rsid w:val="20B64CAB"/>
    <w:rsid w:val="211446E7"/>
    <w:rsid w:val="211A4033"/>
    <w:rsid w:val="217F14CB"/>
    <w:rsid w:val="218C1266"/>
    <w:rsid w:val="218D3CF5"/>
    <w:rsid w:val="21AE4D52"/>
    <w:rsid w:val="21B3166A"/>
    <w:rsid w:val="221C2A22"/>
    <w:rsid w:val="22391B83"/>
    <w:rsid w:val="22617D7D"/>
    <w:rsid w:val="22982FDF"/>
    <w:rsid w:val="22C5090B"/>
    <w:rsid w:val="22D1692E"/>
    <w:rsid w:val="22DB7576"/>
    <w:rsid w:val="22F442FB"/>
    <w:rsid w:val="23087A91"/>
    <w:rsid w:val="231942A8"/>
    <w:rsid w:val="233B0B3D"/>
    <w:rsid w:val="23404050"/>
    <w:rsid w:val="235962B5"/>
    <w:rsid w:val="237B182D"/>
    <w:rsid w:val="23883153"/>
    <w:rsid w:val="2392606A"/>
    <w:rsid w:val="23E2743F"/>
    <w:rsid w:val="2412373B"/>
    <w:rsid w:val="242D4E53"/>
    <w:rsid w:val="245A5790"/>
    <w:rsid w:val="248518FC"/>
    <w:rsid w:val="249D6B11"/>
    <w:rsid w:val="24A155EA"/>
    <w:rsid w:val="24E548B3"/>
    <w:rsid w:val="24E836EF"/>
    <w:rsid w:val="250B50C3"/>
    <w:rsid w:val="252F1B2B"/>
    <w:rsid w:val="25323346"/>
    <w:rsid w:val="256C0881"/>
    <w:rsid w:val="2598202D"/>
    <w:rsid w:val="25F44FFF"/>
    <w:rsid w:val="267A6C66"/>
    <w:rsid w:val="26831829"/>
    <w:rsid w:val="268A7E13"/>
    <w:rsid w:val="26D33082"/>
    <w:rsid w:val="26D36577"/>
    <w:rsid w:val="26ED5AAF"/>
    <w:rsid w:val="26F653F0"/>
    <w:rsid w:val="273C1869"/>
    <w:rsid w:val="27414938"/>
    <w:rsid w:val="27510D0C"/>
    <w:rsid w:val="279042E0"/>
    <w:rsid w:val="27BC069B"/>
    <w:rsid w:val="27D61EB1"/>
    <w:rsid w:val="27D77F0D"/>
    <w:rsid w:val="27E07417"/>
    <w:rsid w:val="27E927A7"/>
    <w:rsid w:val="27ED47D2"/>
    <w:rsid w:val="27F852B6"/>
    <w:rsid w:val="2828642F"/>
    <w:rsid w:val="283508B2"/>
    <w:rsid w:val="283E5DC2"/>
    <w:rsid w:val="284D195C"/>
    <w:rsid w:val="28616B74"/>
    <w:rsid w:val="28BA6221"/>
    <w:rsid w:val="291F1951"/>
    <w:rsid w:val="295C4883"/>
    <w:rsid w:val="299E0AF9"/>
    <w:rsid w:val="2A196435"/>
    <w:rsid w:val="2A493DB0"/>
    <w:rsid w:val="2A691F2C"/>
    <w:rsid w:val="2A997DCB"/>
    <w:rsid w:val="2B132258"/>
    <w:rsid w:val="2B6808D6"/>
    <w:rsid w:val="2B893FA0"/>
    <w:rsid w:val="2BAA3763"/>
    <w:rsid w:val="2BBD358C"/>
    <w:rsid w:val="2C0E5F0A"/>
    <w:rsid w:val="2C901E63"/>
    <w:rsid w:val="2CCD70A6"/>
    <w:rsid w:val="2D1C4469"/>
    <w:rsid w:val="2D75404D"/>
    <w:rsid w:val="2D8E74E3"/>
    <w:rsid w:val="2E2F631E"/>
    <w:rsid w:val="2E854675"/>
    <w:rsid w:val="2EA56D66"/>
    <w:rsid w:val="2EBA0451"/>
    <w:rsid w:val="2EBF6C57"/>
    <w:rsid w:val="2F136229"/>
    <w:rsid w:val="2F310306"/>
    <w:rsid w:val="2F5A71B4"/>
    <w:rsid w:val="2FC1397D"/>
    <w:rsid w:val="30163DE1"/>
    <w:rsid w:val="304E4546"/>
    <w:rsid w:val="30B60F3C"/>
    <w:rsid w:val="30F35862"/>
    <w:rsid w:val="319A54FF"/>
    <w:rsid w:val="31E87796"/>
    <w:rsid w:val="32C72CB3"/>
    <w:rsid w:val="32D62A33"/>
    <w:rsid w:val="32D85851"/>
    <w:rsid w:val="331A1FDA"/>
    <w:rsid w:val="33232EDB"/>
    <w:rsid w:val="33410F35"/>
    <w:rsid w:val="33792FD5"/>
    <w:rsid w:val="339748CC"/>
    <w:rsid w:val="33F15CC8"/>
    <w:rsid w:val="340210E9"/>
    <w:rsid w:val="348265FE"/>
    <w:rsid w:val="35135298"/>
    <w:rsid w:val="35253D5C"/>
    <w:rsid w:val="35654EF5"/>
    <w:rsid w:val="35A91168"/>
    <w:rsid w:val="35DA7332"/>
    <w:rsid w:val="3608378A"/>
    <w:rsid w:val="36742935"/>
    <w:rsid w:val="36947014"/>
    <w:rsid w:val="36C45D08"/>
    <w:rsid w:val="36D84883"/>
    <w:rsid w:val="3709441E"/>
    <w:rsid w:val="375F17B4"/>
    <w:rsid w:val="379956ED"/>
    <w:rsid w:val="37A35B65"/>
    <w:rsid w:val="37A46319"/>
    <w:rsid w:val="37B82BF2"/>
    <w:rsid w:val="37BC12D9"/>
    <w:rsid w:val="37CA3DC3"/>
    <w:rsid w:val="38531D76"/>
    <w:rsid w:val="385E638F"/>
    <w:rsid w:val="386F54ED"/>
    <w:rsid w:val="3891147F"/>
    <w:rsid w:val="38AB4082"/>
    <w:rsid w:val="38C94B28"/>
    <w:rsid w:val="38E11849"/>
    <w:rsid w:val="38E44F25"/>
    <w:rsid w:val="38E62B32"/>
    <w:rsid w:val="38E9007B"/>
    <w:rsid w:val="3953276B"/>
    <w:rsid w:val="395E054A"/>
    <w:rsid w:val="396B2E36"/>
    <w:rsid w:val="398227C4"/>
    <w:rsid w:val="39910DC6"/>
    <w:rsid w:val="399C1E73"/>
    <w:rsid w:val="39DB6A81"/>
    <w:rsid w:val="3A417000"/>
    <w:rsid w:val="3A6944B3"/>
    <w:rsid w:val="3A891FE6"/>
    <w:rsid w:val="3AB918AA"/>
    <w:rsid w:val="3AE2695E"/>
    <w:rsid w:val="3B6D7A2D"/>
    <w:rsid w:val="3B8930CD"/>
    <w:rsid w:val="3BA23A99"/>
    <w:rsid w:val="3BA95865"/>
    <w:rsid w:val="3BC97ABF"/>
    <w:rsid w:val="3C1C06A4"/>
    <w:rsid w:val="3C6B77A0"/>
    <w:rsid w:val="3C702255"/>
    <w:rsid w:val="3D2B18E5"/>
    <w:rsid w:val="3D39107E"/>
    <w:rsid w:val="3D4C54BE"/>
    <w:rsid w:val="3D752AFC"/>
    <w:rsid w:val="3D9505A9"/>
    <w:rsid w:val="3D9951A8"/>
    <w:rsid w:val="3DB52899"/>
    <w:rsid w:val="3DB81839"/>
    <w:rsid w:val="3DBD2847"/>
    <w:rsid w:val="3DD04D64"/>
    <w:rsid w:val="3DD11719"/>
    <w:rsid w:val="3E6072F4"/>
    <w:rsid w:val="3E642844"/>
    <w:rsid w:val="3EB85AAB"/>
    <w:rsid w:val="3ECB4547"/>
    <w:rsid w:val="3EFA221F"/>
    <w:rsid w:val="3EFD232F"/>
    <w:rsid w:val="3F0827BC"/>
    <w:rsid w:val="3F2D67A2"/>
    <w:rsid w:val="3F5E424F"/>
    <w:rsid w:val="3F5F6188"/>
    <w:rsid w:val="3FCD29EB"/>
    <w:rsid w:val="40155D49"/>
    <w:rsid w:val="401C1D92"/>
    <w:rsid w:val="404D6785"/>
    <w:rsid w:val="408B279B"/>
    <w:rsid w:val="40BE1DAE"/>
    <w:rsid w:val="40F153DE"/>
    <w:rsid w:val="40FC484B"/>
    <w:rsid w:val="41221E0B"/>
    <w:rsid w:val="41490BBA"/>
    <w:rsid w:val="41606318"/>
    <w:rsid w:val="417317B0"/>
    <w:rsid w:val="417B11B4"/>
    <w:rsid w:val="41852C2B"/>
    <w:rsid w:val="41B412AE"/>
    <w:rsid w:val="41D64028"/>
    <w:rsid w:val="41F7722C"/>
    <w:rsid w:val="420514DA"/>
    <w:rsid w:val="42057255"/>
    <w:rsid w:val="42094079"/>
    <w:rsid w:val="42845F56"/>
    <w:rsid w:val="4285342A"/>
    <w:rsid w:val="42DB441F"/>
    <w:rsid w:val="433B6A14"/>
    <w:rsid w:val="43486212"/>
    <w:rsid w:val="4393656C"/>
    <w:rsid w:val="439E139C"/>
    <w:rsid w:val="43B31CFA"/>
    <w:rsid w:val="43BF7AD3"/>
    <w:rsid w:val="43C52637"/>
    <w:rsid w:val="43C77902"/>
    <w:rsid w:val="43C93B62"/>
    <w:rsid w:val="43F53589"/>
    <w:rsid w:val="43FD209B"/>
    <w:rsid w:val="4460707A"/>
    <w:rsid w:val="44B013C8"/>
    <w:rsid w:val="45421BD8"/>
    <w:rsid w:val="45471090"/>
    <w:rsid w:val="457A6CD5"/>
    <w:rsid w:val="45913C6B"/>
    <w:rsid w:val="45AA2959"/>
    <w:rsid w:val="45D2660D"/>
    <w:rsid w:val="45D73FEB"/>
    <w:rsid w:val="45E5347F"/>
    <w:rsid w:val="45FF01FB"/>
    <w:rsid w:val="46154FF3"/>
    <w:rsid w:val="46272864"/>
    <w:rsid w:val="465F5404"/>
    <w:rsid w:val="468048DE"/>
    <w:rsid w:val="46DB7B8F"/>
    <w:rsid w:val="46FD4B04"/>
    <w:rsid w:val="477D7B0C"/>
    <w:rsid w:val="47B72C93"/>
    <w:rsid w:val="47DA5F0F"/>
    <w:rsid w:val="47EC63CA"/>
    <w:rsid w:val="483152F8"/>
    <w:rsid w:val="48707F75"/>
    <w:rsid w:val="4883469C"/>
    <w:rsid w:val="488763F4"/>
    <w:rsid w:val="48A9419A"/>
    <w:rsid w:val="48B96189"/>
    <w:rsid w:val="49061720"/>
    <w:rsid w:val="490D459F"/>
    <w:rsid w:val="49665CA8"/>
    <w:rsid w:val="49A26A0A"/>
    <w:rsid w:val="49E4596F"/>
    <w:rsid w:val="49F71626"/>
    <w:rsid w:val="4A0871C7"/>
    <w:rsid w:val="4A6A10B1"/>
    <w:rsid w:val="4AB33C37"/>
    <w:rsid w:val="4AE27895"/>
    <w:rsid w:val="4AF75682"/>
    <w:rsid w:val="4AFA1B43"/>
    <w:rsid w:val="4B390BC3"/>
    <w:rsid w:val="4B5A5D55"/>
    <w:rsid w:val="4B61522E"/>
    <w:rsid w:val="4BED0885"/>
    <w:rsid w:val="4C15752B"/>
    <w:rsid w:val="4C185720"/>
    <w:rsid w:val="4C413AF1"/>
    <w:rsid w:val="4C5D50C7"/>
    <w:rsid w:val="4CB16CF4"/>
    <w:rsid w:val="4CFC2081"/>
    <w:rsid w:val="4D157BE4"/>
    <w:rsid w:val="4D2A6B58"/>
    <w:rsid w:val="4D7D2AE1"/>
    <w:rsid w:val="4DAB01F7"/>
    <w:rsid w:val="4DAB1617"/>
    <w:rsid w:val="4DAD4B65"/>
    <w:rsid w:val="4DFA5445"/>
    <w:rsid w:val="4E0B0C4F"/>
    <w:rsid w:val="4E1E41CB"/>
    <w:rsid w:val="4E3E6CC6"/>
    <w:rsid w:val="4E4E3E5E"/>
    <w:rsid w:val="4E5D48E1"/>
    <w:rsid w:val="4E77200D"/>
    <w:rsid w:val="4E8D7918"/>
    <w:rsid w:val="4F1E51F9"/>
    <w:rsid w:val="4F2A077E"/>
    <w:rsid w:val="4F351522"/>
    <w:rsid w:val="4FFA5599"/>
    <w:rsid w:val="505D367D"/>
    <w:rsid w:val="50B62E11"/>
    <w:rsid w:val="50C26BED"/>
    <w:rsid w:val="51240C72"/>
    <w:rsid w:val="51AE47E0"/>
    <w:rsid w:val="51FE12F8"/>
    <w:rsid w:val="520F6039"/>
    <w:rsid w:val="522F06C7"/>
    <w:rsid w:val="523B63AF"/>
    <w:rsid w:val="529D2ED1"/>
    <w:rsid w:val="52D00092"/>
    <w:rsid w:val="52F43835"/>
    <w:rsid w:val="531A0730"/>
    <w:rsid w:val="536074BE"/>
    <w:rsid w:val="537C6D56"/>
    <w:rsid w:val="53A73EA0"/>
    <w:rsid w:val="5407324D"/>
    <w:rsid w:val="546711A6"/>
    <w:rsid w:val="547A19A0"/>
    <w:rsid w:val="54B704CA"/>
    <w:rsid w:val="54D53585"/>
    <w:rsid w:val="55C61A4F"/>
    <w:rsid w:val="55F04624"/>
    <w:rsid w:val="55FD6E62"/>
    <w:rsid w:val="56037677"/>
    <w:rsid w:val="562D3245"/>
    <w:rsid w:val="562F2EA1"/>
    <w:rsid w:val="5693327C"/>
    <w:rsid w:val="56DB3ED8"/>
    <w:rsid w:val="56EA73B6"/>
    <w:rsid w:val="57153820"/>
    <w:rsid w:val="57166942"/>
    <w:rsid w:val="571953EB"/>
    <w:rsid w:val="57AC2301"/>
    <w:rsid w:val="57CF56B2"/>
    <w:rsid w:val="57D650EC"/>
    <w:rsid w:val="57FB5A6D"/>
    <w:rsid w:val="58466129"/>
    <w:rsid w:val="584A50E2"/>
    <w:rsid w:val="585950D6"/>
    <w:rsid w:val="588B3746"/>
    <w:rsid w:val="58CA653E"/>
    <w:rsid w:val="58D81237"/>
    <w:rsid w:val="58F21B94"/>
    <w:rsid w:val="58F41067"/>
    <w:rsid w:val="595560D2"/>
    <w:rsid w:val="599B5031"/>
    <w:rsid w:val="59CE111C"/>
    <w:rsid w:val="59F942D3"/>
    <w:rsid w:val="59FD003F"/>
    <w:rsid w:val="5A3205CE"/>
    <w:rsid w:val="5A341FE6"/>
    <w:rsid w:val="5A5A057A"/>
    <w:rsid w:val="5A8010AA"/>
    <w:rsid w:val="5A9131DE"/>
    <w:rsid w:val="5B1D05E4"/>
    <w:rsid w:val="5B490FE5"/>
    <w:rsid w:val="5B5F4EE8"/>
    <w:rsid w:val="5BC27F0D"/>
    <w:rsid w:val="5BD45A38"/>
    <w:rsid w:val="5C2A5B4F"/>
    <w:rsid w:val="5C526E7F"/>
    <w:rsid w:val="5CAB0AB2"/>
    <w:rsid w:val="5CE433DB"/>
    <w:rsid w:val="5CED0A8C"/>
    <w:rsid w:val="5CF6011B"/>
    <w:rsid w:val="5CFD2099"/>
    <w:rsid w:val="5D062E92"/>
    <w:rsid w:val="5D526229"/>
    <w:rsid w:val="5D937DEF"/>
    <w:rsid w:val="5DBE6F04"/>
    <w:rsid w:val="5DD25EAE"/>
    <w:rsid w:val="5DEC2D9B"/>
    <w:rsid w:val="5E321D91"/>
    <w:rsid w:val="5E5D7081"/>
    <w:rsid w:val="5E7D4DED"/>
    <w:rsid w:val="5EDD6FFA"/>
    <w:rsid w:val="5EEB754B"/>
    <w:rsid w:val="5EEE23DC"/>
    <w:rsid w:val="5F3B12C7"/>
    <w:rsid w:val="5F472A0A"/>
    <w:rsid w:val="5F485D0B"/>
    <w:rsid w:val="5F506C8D"/>
    <w:rsid w:val="5F7071D5"/>
    <w:rsid w:val="5F9F2BFA"/>
    <w:rsid w:val="5FB27801"/>
    <w:rsid w:val="5FFF7B51"/>
    <w:rsid w:val="603E77F8"/>
    <w:rsid w:val="604D13CC"/>
    <w:rsid w:val="60801CEA"/>
    <w:rsid w:val="60A40532"/>
    <w:rsid w:val="60E124D1"/>
    <w:rsid w:val="60FB7B3F"/>
    <w:rsid w:val="611F1708"/>
    <w:rsid w:val="612A2FB0"/>
    <w:rsid w:val="613D7563"/>
    <w:rsid w:val="619333FC"/>
    <w:rsid w:val="6242614D"/>
    <w:rsid w:val="62535468"/>
    <w:rsid w:val="62605CC7"/>
    <w:rsid w:val="6272119A"/>
    <w:rsid w:val="62D5741A"/>
    <w:rsid w:val="631676D2"/>
    <w:rsid w:val="63365613"/>
    <w:rsid w:val="639C1EBC"/>
    <w:rsid w:val="639E5C10"/>
    <w:rsid w:val="63A149EE"/>
    <w:rsid w:val="63C80690"/>
    <w:rsid w:val="63CE3265"/>
    <w:rsid w:val="63DB3056"/>
    <w:rsid w:val="63FB5A47"/>
    <w:rsid w:val="64640924"/>
    <w:rsid w:val="647139EB"/>
    <w:rsid w:val="648C3270"/>
    <w:rsid w:val="64EE4563"/>
    <w:rsid w:val="654C14C3"/>
    <w:rsid w:val="657F6ACF"/>
    <w:rsid w:val="658B36E0"/>
    <w:rsid w:val="65B70516"/>
    <w:rsid w:val="663F565B"/>
    <w:rsid w:val="66B3750C"/>
    <w:rsid w:val="66CC02D7"/>
    <w:rsid w:val="67082DC2"/>
    <w:rsid w:val="6820642D"/>
    <w:rsid w:val="684F18A7"/>
    <w:rsid w:val="685E30E8"/>
    <w:rsid w:val="68D73DD9"/>
    <w:rsid w:val="68DD7D54"/>
    <w:rsid w:val="68E51CF1"/>
    <w:rsid w:val="68FC7A99"/>
    <w:rsid w:val="691005C2"/>
    <w:rsid w:val="698D7DC1"/>
    <w:rsid w:val="69A14B31"/>
    <w:rsid w:val="69A822E3"/>
    <w:rsid w:val="69C84D01"/>
    <w:rsid w:val="69EF2DA6"/>
    <w:rsid w:val="6A1168C6"/>
    <w:rsid w:val="6A2F5B5B"/>
    <w:rsid w:val="6A5D2B5E"/>
    <w:rsid w:val="6A7468C0"/>
    <w:rsid w:val="6A794F63"/>
    <w:rsid w:val="6A851C9A"/>
    <w:rsid w:val="6B00047B"/>
    <w:rsid w:val="6B0A79AA"/>
    <w:rsid w:val="6B4A425A"/>
    <w:rsid w:val="6BAF5CE8"/>
    <w:rsid w:val="6BB7245D"/>
    <w:rsid w:val="6C601264"/>
    <w:rsid w:val="6CFE1E02"/>
    <w:rsid w:val="6D8118D5"/>
    <w:rsid w:val="6D8372EF"/>
    <w:rsid w:val="6DBC1089"/>
    <w:rsid w:val="6E2F54D8"/>
    <w:rsid w:val="6E554279"/>
    <w:rsid w:val="6EA02752"/>
    <w:rsid w:val="6F223D31"/>
    <w:rsid w:val="6F4821FE"/>
    <w:rsid w:val="6F724D55"/>
    <w:rsid w:val="6FA33181"/>
    <w:rsid w:val="6FA377AE"/>
    <w:rsid w:val="7020038D"/>
    <w:rsid w:val="70286BFC"/>
    <w:rsid w:val="705A6889"/>
    <w:rsid w:val="70D91986"/>
    <w:rsid w:val="713F5D46"/>
    <w:rsid w:val="71A11EE4"/>
    <w:rsid w:val="71C216AC"/>
    <w:rsid w:val="71DD30B2"/>
    <w:rsid w:val="721E49CC"/>
    <w:rsid w:val="72756D22"/>
    <w:rsid w:val="7307599A"/>
    <w:rsid w:val="730C17D2"/>
    <w:rsid w:val="731659F4"/>
    <w:rsid w:val="736635FE"/>
    <w:rsid w:val="73817D6F"/>
    <w:rsid w:val="73F2123E"/>
    <w:rsid w:val="740069AE"/>
    <w:rsid w:val="740658FD"/>
    <w:rsid w:val="74110171"/>
    <w:rsid w:val="741D2B59"/>
    <w:rsid w:val="74457D08"/>
    <w:rsid w:val="74637B89"/>
    <w:rsid w:val="748608A0"/>
    <w:rsid w:val="748D212D"/>
    <w:rsid w:val="74904F8B"/>
    <w:rsid w:val="74DC08D1"/>
    <w:rsid w:val="74E8777C"/>
    <w:rsid w:val="74EB364B"/>
    <w:rsid w:val="74ED6C0A"/>
    <w:rsid w:val="74F85BF6"/>
    <w:rsid w:val="752B264C"/>
    <w:rsid w:val="756D1E27"/>
    <w:rsid w:val="75800FA2"/>
    <w:rsid w:val="758D1900"/>
    <w:rsid w:val="75D37ED6"/>
    <w:rsid w:val="76096FE4"/>
    <w:rsid w:val="760F16DA"/>
    <w:rsid w:val="77120ABF"/>
    <w:rsid w:val="774A049F"/>
    <w:rsid w:val="77600712"/>
    <w:rsid w:val="77813E35"/>
    <w:rsid w:val="77AB3C5C"/>
    <w:rsid w:val="77C60C50"/>
    <w:rsid w:val="77E15FCD"/>
    <w:rsid w:val="7851254A"/>
    <w:rsid w:val="7889734F"/>
    <w:rsid w:val="78C84BF2"/>
    <w:rsid w:val="793140C2"/>
    <w:rsid w:val="79433D25"/>
    <w:rsid w:val="79474766"/>
    <w:rsid w:val="79627232"/>
    <w:rsid w:val="798C3107"/>
    <w:rsid w:val="799077DD"/>
    <w:rsid w:val="7A8F7DBA"/>
    <w:rsid w:val="7A906188"/>
    <w:rsid w:val="7A971EEA"/>
    <w:rsid w:val="7B8004C9"/>
    <w:rsid w:val="7B8E6419"/>
    <w:rsid w:val="7B901E4C"/>
    <w:rsid w:val="7B9574AF"/>
    <w:rsid w:val="7BCC4228"/>
    <w:rsid w:val="7CAC7C15"/>
    <w:rsid w:val="7CEC3436"/>
    <w:rsid w:val="7CF60469"/>
    <w:rsid w:val="7D26545A"/>
    <w:rsid w:val="7D295040"/>
    <w:rsid w:val="7E332D18"/>
    <w:rsid w:val="7E387C61"/>
    <w:rsid w:val="7E4202F4"/>
    <w:rsid w:val="7E4F3798"/>
    <w:rsid w:val="7EBC4D20"/>
    <w:rsid w:val="7EFC3729"/>
    <w:rsid w:val="7F04496C"/>
    <w:rsid w:val="7F0F041A"/>
    <w:rsid w:val="7FB7456E"/>
    <w:rsid w:val="7FBA5216"/>
    <w:rsid w:val="7FE364AB"/>
    <w:rsid w:val="7FFF72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spacing w:line="216" w:lineRule="auto"/>
      <w:outlineLvl w:val="0"/>
    </w:pPr>
    <w:rPr>
      <w:rFonts w:ascii="宋体"/>
      <w:b/>
      <w:kern w:val="0"/>
      <w:sz w:val="30"/>
      <w:szCs w:val="20"/>
    </w:rPr>
  </w:style>
  <w:style w:type="paragraph" w:styleId="4">
    <w:name w:val="heading 2"/>
    <w:basedOn w:val="1"/>
    <w:next w:val="1"/>
    <w:link w:val="62"/>
    <w:qFormat/>
    <w:uiPriority w:val="0"/>
    <w:pPr>
      <w:keepNext/>
      <w:spacing w:line="216" w:lineRule="auto"/>
      <w:outlineLvl w:val="1"/>
    </w:pPr>
    <w:rPr>
      <w:rFonts w:ascii="宋体"/>
      <w:b/>
      <w:kern w:val="0"/>
      <w:sz w:val="28"/>
      <w:szCs w:val="20"/>
    </w:rPr>
  </w:style>
  <w:style w:type="paragraph" w:styleId="5">
    <w:name w:val="heading 3"/>
    <w:basedOn w:val="1"/>
    <w:next w:val="1"/>
    <w:qFormat/>
    <w:uiPriority w:val="0"/>
    <w:pPr>
      <w:keepNext/>
      <w:numPr>
        <w:ilvl w:val="0"/>
        <w:numId w:val="1"/>
      </w:numPr>
      <w:spacing w:line="216" w:lineRule="auto"/>
      <w:outlineLvl w:val="2"/>
    </w:pPr>
    <w:rPr>
      <w:rFonts w:ascii="宋体"/>
      <w:b/>
      <w:bCs/>
      <w:sz w:val="28"/>
      <w:szCs w:val="20"/>
    </w:rPr>
  </w:style>
  <w:style w:type="paragraph" w:styleId="6">
    <w:name w:val="heading 4"/>
    <w:basedOn w:val="1"/>
    <w:next w:val="1"/>
    <w:qFormat/>
    <w:uiPriority w:val="0"/>
    <w:pPr>
      <w:keepNext/>
      <w:numPr>
        <w:ilvl w:val="0"/>
        <w:numId w:val="2"/>
      </w:numPr>
      <w:spacing w:line="216" w:lineRule="auto"/>
      <w:outlineLvl w:val="3"/>
    </w:pPr>
    <w:rPr>
      <w:rFonts w:ascii="黑体" w:eastAsia="黑体"/>
      <w:b/>
      <w:sz w:val="24"/>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0"/>
    <w:pPr>
      <w:ind w:left="200" w:hanging="200" w:hangingChars="200"/>
      <w:contextualSpacing/>
    </w:pPr>
    <w:rPr>
      <w:sz w:val="20"/>
      <w:szCs w:val="20"/>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unhideWhenUsed/>
    <w:qFormat/>
    <w:uiPriority w:val="99"/>
    <w:pPr>
      <w:jc w:val="left"/>
    </w:pPr>
  </w:style>
  <w:style w:type="paragraph" w:styleId="11">
    <w:name w:val="Body Text"/>
    <w:basedOn w:val="1"/>
    <w:next w:val="12"/>
    <w:qFormat/>
    <w:uiPriority w:val="0"/>
    <w:rPr>
      <w:rFonts w:eastAsia="黑体"/>
      <w:b/>
      <w:bCs/>
      <w:spacing w:val="20"/>
      <w:kern w:val="52"/>
      <w:sz w:val="56"/>
    </w:rPr>
  </w:style>
  <w:style w:type="paragraph" w:styleId="12">
    <w:name w:val="Body Text Indent"/>
    <w:basedOn w:val="1"/>
    <w:next w:val="6"/>
    <w:qFormat/>
    <w:uiPriority w:val="0"/>
    <w:pPr>
      <w:spacing w:line="360" w:lineRule="auto"/>
      <w:ind w:firstLine="435"/>
    </w:pPr>
    <w:rPr>
      <w:sz w:val="28"/>
    </w:rPr>
  </w:style>
  <w:style w:type="paragraph" w:styleId="13">
    <w:name w:val="List Bullet 2"/>
    <w:basedOn w:val="1"/>
    <w:qFormat/>
    <w:uiPriority w:val="0"/>
    <w:pPr>
      <w:numPr>
        <w:ilvl w:val="0"/>
        <w:numId w:val="3"/>
      </w:numPr>
    </w:pPr>
  </w:style>
  <w:style w:type="paragraph" w:styleId="14">
    <w:name w:val="toc 5"/>
    <w:basedOn w:val="1"/>
    <w:next w:val="1"/>
    <w:qFormat/>
    <w:uiPriority w:val="0"/>
    <w:pPr>
      <w:ind w:left="840"/>
      <w:jc w:val="left"/>
    </w:pPr>
    <w:rPr>
      <w:rFonts w:asciiTheme="minorHAnsi" w:hAnsiTheme="minorHAnsi"/>
      <w:sz w:val="18"/>
      <w:szCs w:val="18"/>
    </w:rPr>
  </w:style>
  <w:style w:type="paragraph" w:styleId="15">
    <w:name w:val="toc 3"/>
    <w:basedOn w:val="1"/>
    <w:next w:val="1"/>
    <w:qFormat/>
    <w:uiPriority w:val="39"/>
    <w:pPr>
      <w:ind w:left="420"/>
      <w:jc w:val="left"/>
    </w:pPr>
    <w:rPr>
      <w:rFonts w:asciiTheme="minorHAnsi" w:hAnsiTheme="minorHAnsi"/>
      <w:i/>
      <w:iCs/>
      <w:sz w:val="20"/>
      <w:szCs w:val="20"/>
    </w:rPr>
  </w:style>
  <w:style w:type="paragraph" w:styleId="16">
    <w:name w:val="Plain Text"/>
    <w:basedOn w:val="1"/>
    <w:link w:val="61"/>
    <w:qFormat/>
    <w:uiPriority w:val="0"/>
    <w:rPr>
      <w:rFonts w:ascii="宋体" w:hAnsi="Courier New" w:cs="Courier New"/>
      <w:szCs w:val="21"/>
    </w:rPr>
  </w:style>
  <w:style w:type="paragraph" w:styleId="17">
    <w:name w:val="List Bullet 5"/>
    <w:basedOn w:val="1"/>
    <w:qFormat/>
    <w:uiPriority w:val="0"/>
    <w:pPr>
      <w:numPr>
        <w:ilvl w:val="0"/>
        <w:numId w:val="4"/>
      </w:numPr>
    </w:p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55"/>
    <w:qFormat/>
    <w:uiPriority w:val="0"/>
    <w:rPr>
      <w:sz w:val="24"/>
      <w:szCs w:val="20"/>
    </w:rPr>
  </w:style>
  <w:style w:type="paragraph" w:styleId="20">
    <w:name w:val="Body Text Indent 2"/>
    <w:basedOn w:val="1"/>
    <w:qFormat/>
    <w:uiPriority w:val="0"/>
    <w:pPr>
      <w:spacing w:line="432" w:lineRule="auto"/>
      <w:ind w:firstLine="480" w:firstLineChars="200"/>
    </w:pPr>
    <w:rPr>
      <w:sz w:val="24"/>
      <w:szCs w:val="21"/>
    </w:rPr>
  </w:style>
  <w:style w:type="paragraph" w:styleId="21">
    <w:name w:val="Balloon Text"/>
    <w:basedOn w:val="1"/>
    <w:link w:val="67"/>
    <w:qFormat/>
    <w:uiPriority w:val="0"/>
    <w:rPr>
      <w:sz w:val="18"/>
      <w:szCs w:val="18"/>
    </w:rPr>
  </w:style>
  <w:style w:type="paragraph" w:styleId="22">
    <w:name w:val="footer"/>
    <w:basedOn w:val="1"/>
    <w:link w:val="68"/>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toc 6"/>
    <w:basedOn w:val="1"/>
    <w:next w:val="1"/>
    <w:qFormat/>
    <w:uiPriority w:val="0"/>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482"/>
    </w:pPr>
    <w:rPr>
      <w:sz w:val="24"/>
      <w:szCs w:val="21"/>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qFormat/>
    <w:uiPriority w:val="0"/>
    <w:pPr>
      <w:spacing w:line="360" w:lineRule="auto"/>
    </w:pPr>
    <w:rPr>
      <w:sz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24"/>
    </w:rPr>
  </w:style>
  <w:style w:type="paragraph" w:styleId="32">
    <w:name w:val="Title"/>
    <w:basedOn w:val="1"/>
    <w:next w:val="1"/>
    <w:link w:val="59"/>
    <w:qFormat/>
    <w:uiPriority w:val="0"/>
    <w:pPr>
      <w:spacing w:before="240" w:after="60"/>
      <w:jc w:val="center"/>
      <w:outlineLvl w:val="0"/>
    </w:pPr>
    <w:rPr>
      <w:rFonts w:ascii="Cambria" w:hAnsi="Cambria"/>
      <w:b/>
      <w:bCs/>
      <w:sz w:val="32"/>
      <w:szCs w:val="32"/>
    </w:rPr>
  </w:style>
  <w:style w:type="paragraph" w:styleId="33">
    <w:name w:val="Body Text First Indent"/>
    <w:basedOn w:val="11"/>
    <w:next w:val="1"/>
    <w:qFormat/>
    <w:uiPriority w:val="99"/>
    <w:pPr>
      <w:ind w:firstLine="100" w:firstLineChars="1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bCs/>
    </w:rPr>
  </w:style>
  <w:style w:type="character" w:styleId="38">
    <w:name w:val="page number"/>
    <w:basedOn w:val="36"/>
    <w:qFormat/>
    <w:uiPriority w:val="0"/>
  </w:style>
  <w:style w:type="character" w:styleId="39">
    <w:name w:val="Hyperlink"/>
    <w:basedOn w:val="36"/>
    <w:qFormat/>
    <w:uiPriority w:val="99"/>
    <w:rPr>
      <w:color w:val="000000"/>
      <w:sz w:val="18"/>
      <w:szCs w:val="18"/>
      <w:u w:val="none"/>
    </w:rPr>
  </w:style>
  <w:style w:type="paragraph" w:customStyle="1" w:styleId="40">
    <w:name w:val="4正文"/>
    <w:basedOn w:val="1"/>
    <w:qFormat/>
    <w:uiPriority w:val="0"/>
    <w:pPr>
      <w:spacing w:line="360" w:lineRule="auto"/>
      <w:ind w:firstLine="200" w:firstLineChars="200"/>
    </w:pPr>
  </w:style>
  <w:style w:type="paragraph" w:customStyle="1" w:styleId="41">
    <w:name w:val="Char Char Char"/>
    <w:basedOn w:val="1"/>
    <w:qFormat/>
    <w:uiPriority w:val="0"/>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44">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5">
    <w:name w:val="Char"/>
    <w:basedOn w:val="1"/>
    <w:qFormat/>
    <w:uiPriority w:val="0"/>
  </w:style>
  <w:style w:type="paragraph" w:customStyle="1" w:styleId="46">
    <w:name w:val="表题"/>
    <w:basedOn w:val="1"/>
    <w:qFormat/>
    <w:uiPriority w:val="0"/>
    <w:pPr>
      <w:spacing w:beforeLines="50" w:afterLines="50"/>
      <w:jc w:val="center"/>
    </w:pPr>
    <w:rPr>
      <w:b/>
      <w:sz w:val="24"/>
      <w:szCs w:val="22"/>
    </w:rPr>
  </w:style>
  <w:style w:type="paragraph" w:customStyle="1" w:styleId="47">
    <w:name w:val="正文格式"/>
    <w:basedOn w:val="1"/>
    <w:next w:val="1"/>
    <w:qFormat/>
    <w:uiPriority w:val="0"/>
    <w:pPr>
      <w:ind w:firstLine="720"/>
    </w:pPr>
  </w:style>
  <w:style w:type="paragraph" w:customStyle="1" w:styleId="4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9">
    <w:name w:val="样式1"/>
    <w:basedOn w:val="4"/>
    <w:qFormat/>
    <w:uiPriority w:val="0"/>
    <w:pPr>
      <w:keepLines/>
      <w:spacing w:before="260" w:after="260" w:line="416" w:lineRule="auto"/>
      <w:jc w:val="center"/>
    </w:pPr>
    <w:rPr>
      <w:rFonts w:hAnsi="宋体" w:eastAsia="黑体"/>
      <w:bCs/>
      <w:sz w:val="36"/>
      <w:szCs w:val="36"/>
    </w:rPr>
  </w:style>
  <w:style w:type="paragraph" w:customStyle="1" w:styleId="50">
    <w:name w:val="Table Paragraph"/>
    <w:basedOn w:val="1"/>
    <w:qFormat/>
    <w:uiPriority w:val="1"/>
  </w:style>
  <w:style w:type="paragraph" w:customStyle="1" w:styleId="51">
    <w:name w:val="样式 标题 3 + (中文) 黑体 小四 非加粗 段前: 7.8 磅 段后: 0 磅 行距: 固定值 20 磅"/>
    <w:basedOn w:val="5"/>
    <w:qFormat/>
    <w:uiPriority w:val="0"/>
    <w:pPr>
      <w:keepLines/>
      <w:numPr>
        <w:numId w:val="0"/>
      </w:numPr>
      <w:spacing w:line="400" w:lineRule="exact"/>
    </w:pPr>
    <w:rPr>
      <w:rFonts w:ascii="Times New Roman" w:eastAsia="黑体"/>
      <w:b w:val="0"/>
      <w:bCs w:val="0"/>
      <w:sz w:val="24"/>
    </w:rPr>
  </w:style>
  <w:style w:type="paragraph" w:customStyle="1" w:styleId="52">
    <w:name w:val="样式 标题 2 + Times New Roman 四号 非加粗 段前: 5 磅 段后: 0 磅 行距: 固定值 20..."/>
    <w:basedOn w:val="4"/>
    <w:qFormat/>
    <w:uiPriority w:val="0"/>
    <w:pPr>
      <w:spacing w:before="100" w:line="400" w:lineRule="exact"/>
    </w:pPr>
    <w:rPr>
      <w:rFonts w:ascii="Times New Roman" w:cs="宋体"/>
      <w:b w:val="0"/>
    </w:rPr>
  </w:style>
  <w:style w:type="paragraph" w:customStyle="1" w:styleId="53">
    <w:name w:val="WPS Plain"/>
    <w:qFormat/>
    <w:uiPriority w:val="0"/>
    <w:rPr>
      <w:rFonts w:ascii="Times New Roman" w:hAnsi="Times New Roman" w:eastAsia="宋体" w:cs="Times New Roman"/>
      <w:lang w:val="en-US" w:eastAsia="zh-CN" w:bidi="ar-SA"/>
    </w:rPr>
  </w:style>
  <w:style w:type="paragraph" w:customStyle="1" w:styleId="54">
    <w:name w:val="0"/>
    <w:basedOn w:val="1"/>
    <w:qFormat/>
    <w:uiPriority w:val="0"/>
    <w:pPr>
      <w:widowControl/>
      <w:spacing w:line="408" w:lineRule="auto"/>
      <w:ind w:left="1"/>
      <w:textAlignment w:val="bottom"/>
    </w:pPr>
    <w:rPr>
      <w:color w:val="000000"/>
      <w:kern w:val="0"/>
    </w:rPr>
  </w:style>
  <w:style w:type="character" w:customStyle="1" w:styleId="55">
    <w:name w:val="日期 Char"/>
    <w:basedOn w:val="36"/>
    <w:link w:val="19"/>
    <w:qFormat/>
    <w:uiPriority w:val="0"/>
    <w:rPr>
      <w:rFonts w:eastAsia="宋体"/>
      <w:kern w:val="2"/>
      <w:sz w:val="24"/>
      <w:lang w:val="en-US" w:eastAsia="zh-CN" w:bidi="ar-SA"/>
    </w:rPr>
  </w:style>
  <w:style w:type="character" w:customStyle="1" w:styleId="56">
    <w:name w:val="标题 1 Char"/>
    <w:link w:val="3"/>
    <w:qFormat/>
    <w:uiPriority w:val="0"/>
    <w:rPr>
      <w:rFonts w:ascii="宋体"/>
      <w:b/>
      <w:sz w:val="30"/>
      <w:szCs w:val="20"/>
    </w:rPr>
  </w:style>
  <w:style w:type="character" w:customStyle="1" w:styleId="57">
    <w:name w:val="div_class_1_rtcscls1_r_13"/>
    <w:basedOn w:val="36"/>
    <w:qFormat/>
    <w:uiPriority w:val="0"/>
    <w:rPr>
      <w:rFonts w:ascii="Times New Roman" w:hAnsi="Times New Roman" w:eastAsia="宋体" w:cs="Times New Roman"/>
    </w:rPr>
  </w:style>
  <w:style w:type="character" w:customStyle="1" w:styleId="58">
    <w:name w:val="div_class_1_rtcscls1_r_15"/>
    <w:basedOn w:val="36"/>
    <w:qFormat/>
    <w:uiPriority w:val="0"/>
    <w:rPr>
      <w:rFonts w:ascii="Times New Roman" w:hAnsi="Times New Roman" w:eastAsia="宋体" w:cs="Times New Roman"/>
      <w:b/>
      <w:bCs/>
    </w:rPr>
  </w:style>
  <w:style w:type="character" w:customStyle="1" w:styleId="59">
    <w:name w:val="标题 Char"/>
    <w:basedOn w:val="36"/>
    <w:link w:val="32"/>
    <w:qFormat/>
    <w:uiPriority w:val="0"/>
    <w:rPr>
      <w:rFonts w:ascii="Cambria" w:hAnsi="Cambria" w:eastAsia="宋体"/>
      <w:b/>
      <w:bCs/>
      <w:kern w:val="2"/>
      <w:sz w:val="32"/>
      <w:szCs w:val="32"/>
      <w:lang w:val="en-US" w:eastAsia="zh-CN" w:bidi="ar-SA"/>
    </w:rPr>
  </w:style>
  <w:style w:type="character" w:customStyle="1" w:styleId="60">
    <w:name w:val="标题 2 Char"/>
    <w:basedOn w:val="36"/>
    <w:qFormat/>
    <w:uiPriority w:val="0"/>
    <w:rPr>
      <w:rFonts w:ascii="宋体" w:hAnsi="宋体" w:eastAsia="黑体"/>
      <w:b/>
      <w:bCs/>
      <w:kern w:val="2"/>
      <w:sz w:val="24"/>
      <w:szCs w:val="32"/>
      <w:lang w:val="en-US" w:eastAsia="zh-CN" w:bidi="ar-SA"/>
    </w:rPr>
  </w:style>
  <w:style w:type="character" w:customStyle="1" w:styleId="61">
    <w:name w:val="纯文本 Char"/>
    <w:basedOn w:val="36"/>
    <w:link w:val="16"/>
    <w:qFormat/>
    <w:uiPriority w:val="0"/>
    <w:rPr>
      <w:rFonts w:ascii="宋体" w:hAnsi="Courier New" w:eastAsia="宋体" w:cs="Courier New"/>
      <w:kern w:val="2"/>
      <w:sz w:val="21"/>
      <w:szCs w:val="21"/>
      <w:lang w:val="en-US" w:eastAsia="zh-CN" w:bidi="ar-SA"/>
    </w:rPr>
  </w:style>
  <w:style w:type="character" w:customStyle="1" w:styleId="62">
    <w:name w:val="标题 2 Char1"/>
    <w:link w:val="4"/>
    <w:qFormat/>
    <w:uiPriority w:val="0"/>
    <w:rPr>
      <w:rFonts w:ascii="宋体"/>
      <w:b/>
      <w:sz w:val="28"/>
      <w:szCs w:val="20"/>
    </w:rPr>
  </w:style>
  <w:style w:type="character" w:customStyle="1" w:styleId="63">
    <w:name w:val="ca-1"/>
    <w:basedOn w:val="36"/>
    <w:qFormat/>
    <w:uiPriority w:val="0"/>
  </w:style>
  <w:style w:type="paragraph" w:styleId="64">
    <w:name w:val="List Paragraph"/>
    <w:basedOn w:val="1"/>
    <w:link w:val="69"/>
    <w:qFormat/>
    <w:uiPriority w:val="34"/>
    <w:pPr>
      <w:ind w:left="1038" w:hanging="632"/>
    </w:pPr>
    <w:rPr>
      <w:rFonts w:ascii="宋体" w:hAnsi="宋体" w:cs="宋体"/>
      <w:lang w:val="zh-CN" w:bidi="zh-CN"/>
    </w:rPr>
  </w:style>
  <w:style w:type="paragraph" w:customStyle="1" w:styleId="65">
    <w:name w:val="WPSOffice手动目录 1"/>
    <w:qFormat/>
    <w:uiPriority w:val="0"/>
    <w:rPr>
      <w:rFonts w:asciiTheme="minorHAnsi" w:hAnsiTheme="minorHAnsi" w:eastAsiaTheme="minorHAnsi" w:cstheme="minorBidi"/>
      <w:lang w:val="en-US" w:eastAsia="zh-CN" w:bidi="ar-SA"/>
    </w:rPr>
  </w:style>
  <w:style w:type="paragraph" w:customStyle="1" w:styleId="6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67">
    <w:name w:val="批注框文本 Char"/>
    <w:basedOn w:val="36"/>
    <w:link w:val="21"/>
    <w:qFormat/>
    <w:uiPriority w:val="0"/>
    <w:rPr>
      <w:kern w:val="2"/>
      <w:sz w:val="18"/>
      <w:szCs w:val="18"/>
    </w:rPr>
  </w:style>
  <w:style w:type="character" w:customStyle="1" w:styleId="68">
    <w:name w:val="页脚 Char"/>
    <w:basedOn w:val="36"/>
    <w:link w:val="22"/>
    <w:qFormat/>
    <w:locked/>
    <w:uiPriority w:val="99"/>
    <w:rPr>
      <w:kern w:val="2"/>
      <w:sz w:val="18"/>
      <w:szCs w:val="18"/>
    </w:rPr>
  </w:style>
  <w:style w:type="character" w:customStyle="1" w:styleId="69">
    <w:name w:val="列出段落 Char"/>
    <w:link w:val="64"/>
    <w:qFormat/>
    <w:uiPriority w:val="0"/>
    <w:rPr>
      <w:rFonts w:ascii="宋体" w:hAnsi="宋体" w:cs="宋体"/>
      <w:kern w:val="2"/>
      <w:sz w:val="21"/>
      <w:szCs w:val="24"/>
      <w:lang w:val="zh-CN" w:bidi="zh-CN"/>
    </w:rPr>
  </w:style>
  <w:style w:type="paragraph" w:customStyle="1" w:styleId="70">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63"/>
    <customShpInfo spid="_x0000_s2062"/>
    <customShpInfo spid="_x0000_s2061"/>
    <customShpInfo spid="_x0000_s2057"/>
    <customShpInfo spid="_x0000_s2056"/>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27B07-30BA-4D44-9578-9198D28F36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16992</Words>
  <Characters>17774</Characters>
  <Lines>158</Lines>
  <Paragraphs>44</Paragraphs>
  <TotalTime>372</TotalTime>
  <ScaleCrop>false</ScaleCrop>
  <LinksUpToDate>false</LinksUpToDate>
  <CharactersWithSpaces>19671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2022-11-11T06:48:00Z</dcterms:created>
  <dc:creator>fyh</dc:creator>
  <cp:lastModifiedBy>zt</cp:lastModifiedBy>
  <cp:lastPrinted>2022-11-22T00:35:56Z</cp:lastPrinted>
  <dcterms:modified xsi:type="dcterms:W3CDTF">2022-11-22T06:37:46Z</dcterms:modified>
  <dc:title>博乐市2010年天然草原退木还草工程围栏材料采购招标文件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4E1D58D51B3848819F2CD627D4DA648C</vt:lpwstr>
  </property>
</Properties>
</file>